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1FC0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right="0"/>
        <w:jc w:val="center"/>
        <w:textAlignment w:val="baseline"/>
        <w:outlineLvl w:val="0"/>
        <w:rPr>
          <w:rFonts w:ascii="微软雅黑" w:hAnsi="微软雅黑" w:eastAsia="微软雅黑" w:cs="微软雅黑"/>
          <w:sz w:val="32"/>
          <w:szCs w:val="32"/>
        </w:rPr>
      </w:pPr>
      <w:r>
        <w:rPr>
          <w:rFonts w:hint="eastAsia" w:ascii="微软雅黑" w:hAnsi="微软雅黑" w:eastAsia="微软雅黑" w:cs="微软雅黑"/>
          <w:spacing w:val="8"/>
          <w:sz w:val="32"/>
          <w:szCs w:val="32"/>
          <w:lang w:val="en-US" w:eastAsia="zh-CN"/>
        </w:rPr>
        <w:t>铜陵学院“智能软件开发”</w:t>
      </w:r>
      <w:r>
        <w:rPr>
          <w:rFonts w:ascii="微软雅黑" w:hAnsi="微软雅黑" w:eastAsia="微软雅黑" w:cs="微软雅黑"/>
          <w:spacing w:val="8"/>
          <w:sz w:val="32"/>
          <w:szCs w:val="32"/>
        </w:rPr>
        <w:t>微专业</w:t>
      </w:r>
      <w:r>
        <w:rPr>
          <w:rFonts w:hint="eastAsia" w:ascii="微软雅黑" w:hAnsi="微软雅黑" w:eastAsia="微软雅黑" w:cs="微软雅黑"/>
          <w:spacing w:val="8"/>
          <w:sz w:val="32"/>
          <w:szCs w:val="32"/>
          <w:lang w:val="en-US" w:eastAsia="zh-CN"/>
        </w:rPr>
        <w:t>培养</w:t>
      </w:r>
      <w:r>
        <w:rPr>
          <w:rFonts w:ascii="微软雅黑" w:hAnsi="微软雅黑" w:eastAsia="微软雅黑" w:cs="微软雅黑"/>
          <w:spacing w:val="8"/>
          <w:sz w:val="32"/>
          <w:szCs w:val="32"/>
        </w:rPr>
        <w:t>方案</w:t>
      </w:r>
    </w:p>
    <w:p w14:paraId="33EBE3F2">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rFonts w:hint="eastAsia" w:eastAsia="仿宋"/>
          <w:sz w:val="28"/>
          <w:szCs w:val="28"/>
          <w:lang w:eastAsia="zh-CN"/>
        </w:rPr>
      </w:pPr>
      <w:r>
        <w:rPr>
          <w:spacing w:val="4"/>
          <w:sz w:val="28"/>
          <w:szCs w:val="28"/>
          <w14:textOutline w14:w="5791" w14:cap="flat" w14:cmpd="sng">
            <w14:solidFill>
              <w14:srgbClr w14:val="000000"/>
            </w14:solidFill>
            <w14:prstDash w14:val="solid"/>
            <w14:miter w14:val="0"/>
          </w14:textOutline>
        </w:rPr>
        <w:t>一、微专业</w:t>
      </w:r>
      <w:r>
        <w:rPr>
          <w:rFonts w:hint="eastAsia"/>
          <w:spacing w:val="4"/>
          <w:sz w:val="28"/>
          <w:szCs w:val="28"/>
          <w:lang w:val="en-US" w:eastAsia="zh-CN"/>
          <w14:textOutline w14:w="5791" w14:cap="flat" w14:cmpd="sng">
            <w14:solidFill>
              <w14:srgbClr w14:val="000000"/>
            </w14:solidFill>
            <w14:prstDash w14:val="solid"/>
            <w14:miter w14:val="0"/>
          </w14:textOutline>
        </w:rPr>
        <w:t>介绍</w:t>
      </w:r>
    </w:p>
    <w:p w14:paraId="223167CF">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46"/>
        <w:jc w:val="both"/>
        <w:textAlignment w:val="baseline"/>
        <w:rPr>
          <w:rFonts w:hint="eastAsia"/>
          <w:spacing w:val="9"/>
          <w:sz w:val="24"/>
          <w:szCs w:val="24"/>
        </w:rPr>
      </w:pPr>
      <w:r>
        <w:rPr>
          <w:rFonts w:hint="eastAsia"/>
          <w:spacing w:val="9"/>
          <w:sz w:val="24"/>
          <w:szCs w:val="24"/>
        </w:rPr>
        <w:t>随着信息技术的飞速发展，智能软件开发已成为驱动产业升级、创新经济形态的关键力量。为响应国家对智能软件开发人才的迫切需求，以及顺应安徽省在大数据、数字化智能制造等领域的战略布局，我校特设立智能软件开发微专业，依托2022年国家一流专业建设点——计算机科学与技术专业，以及安徽省两大产业学院——大数据产业学院与数字化智能制造特色示范软件学院，携手安徽陆科光电科技有限公司等创新型企业，共同构建以开放理念、先行先试为特色的智能软件开发人才培养平台。</w:t>
      </w:r>
    </w:p>
    <w:p w14:paraId="43713193">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智能软件开发微专业具有一支教学水平高、科研能力强、工程实践经验丰富、具有奉献精神的教师队伍1</w:t>
      </w:r>
      <w:r>
        <w:rPr>
          <w:rFonts w:hint="eastAsia" w:ascii="仿宋" w:hAnsi="仿宋" w:eastAsia="仿宋" w:cs="仿宋"/>
          <w:snapToGrid w:val="0"/>
          <w:color w:val="000000"/>
          <w:spacing w:val="9"/>
          <w:kern w:val="0"/>
          <w:sz w:val="24"/>
          <w:szCs w:val="24"/>
          <w:lang w:val="en-US" w:eastAsia="zh-CN" w:bidi="ar-SA"/>
        </w:rPr>
        <w:t>1</w:t>
      </w:r>
      <w:r>
        <w:rPr>
          <w:rFonts w:hint="eastAsia" w:ascii="仿宋" w:hAnsi="仿宋" w:eastAsia="仿宋" w:cs="仿宋"/>
          <w:snapToGrid w:val="0"/>
          <w:color w:val="000000"/>
          <w:spacing w:val="9"/>
          <w:kern w:val="0"/>
          <w:sz w:val="24"/>
          <w:szCs w:val="24"/>
          <w:lang w:val="en-US" w:eastAsia="en-US" w:bidi="ar-SA"/>
        </w:rPr>
        <w:t>人，其中副高以上职称</w:t>
      </w:r>
      <w:r>
        <w:rPr>
          <w:rFonts w:hint="eastAsia" w:ascii="仿宋" w:hAnsi="仿宋" w:eastAsia="仿宋" w:cs="仿宋"/>
          <w:snapToGrid w:val="0"/>
          <w:color w:val="000000"/>
          <w:spacing w:val="9"/>
          <w:kern w:val="0"/>
          <w:sz w:val="24"/>
          <w:szCs w:val="24"/>
          <w:lang w:val="en-US" w:eastAsia="zh-CN" w:bidi="ar-SA"/>
        </w:rPr>
        <w:t>7</w:t>
      </w:r>
      <w:r>
        <w:rPr>
          <w:rFonts w:hint="eastAsia" w:ascii="仿宋" w:hAnsi="仿宋" w:eastAsia="仿宋" w:cs="仿宋"/>
          <w:snapToGrid w:val="0"/>
          <w:color w:val="000000"/>
          <w:spacing w:val="9"/>
          <w:kern w:val="0"/>
          <w:sz w:val="24"/>
          <w:szCs w:val="24"/>
          <w:lang w:val="en-US" w:eastAsia="en-US" w:bidi="ar-SA"/>
        </w:rPr>
        <w:t>人，博士</w:t>
      </w:r>
      <w:r>
        <w:rPr>
          <w:rFonts w:hint="eastAsia" w:ascii="仿宋" w:hAnsi="仿宋" w:eastAsia="仿宋" w:cs="仿宋"/>
          <w:snapToGrid w:val="0"/>
          <w:color w:val="000000"/>
          <w:spacing w:val="9"/>
          <w:kern w:val="0"/>
          <w:sz w:val="24"/>
          <w:szCs w:val="24"/>
          <w:lang w:val="en-US" w:eastAsia="zh-CN" w:bidi="ar-SA"/>
        </w:rPr>
        <w:t>6</w:t>
      </w:r>
      <w:r>
        <w:rPr>
          <w:rFonts w:hint="eastAsia" w:ascii="仿宋" w:hAnsi="仿宋" w:eastAsia="仿宋" w:cs="仿宋"/>
          <w:snapToGrid w:val="0"/>
          <w:color w:val="000000"/>
          <w:spacing w:val="9"/>
          <w:kern w:val="0"/>
          <w:sz w:val="24"/>
          <w:szCs w:val="24"/>
          <w:lang w:val="en-US" w:eastAsia="en-US" w:bidi="ar-SA"/>
        </w:rPr>
        <w:t>人，行业经验教师</w:t>
      </w:r>
      <w:r>
        <w:rPr>
          <w:rFonts w:hint="eastAsia" w:ascii="仿宋" w:hAnsi="仿宋" w:eastAsia="仿宋" w:cs="仿宋"/>
          <w:snapToGrid w:val="0"/>
          <w:color w:val="000000"/>
          <w:spacing w:val="9"/>
          <w:kern w:val="0"/>
          <w:sz w:val="24"/>
          <w:szCs w:val="24"/>
          <w:lang w:val="en-US" w:eastAsia="zh-CN" w:bidi="ar-SA"/>
        </w:rPr>
        <w:t>10</w:t>
      </w:r>
      <w:r>
        <w:rPr>
          <w:rFonts w:hint="eastAsia" w:ascii="仿宋" w:hAnsi="仿宋" w:eastAsia="仿宋" w:cs="仿宋"/>
          <w:snapToGrid w:val="0"/>
          <w:color w:val="000000"/>
          <w:spacing w:val="9"/>
          <w:kern w:val="0"/>
          <w:sz w:val="24"/>
          <w:szCs w:val="24"/>
          <w:lang w:val="en-US" w:eastAsia="en-US" w:bidi="ar-SA"/>
        </w:rPr>
        <w:t>人，双师型教师</w:t>
      </w:r>
      <w:r>
        <w:rPr>
          <w:rFonts w:hint="eastAsia" w:ascii="仿宋" w:hAnsi="仿宋" w:eastAsia="仿宋" w:cs="仿宋"/>
          <w:snapToGrid w:val="0"/>
          <w:color w:val="000000"/>
          <w:spacing w:val="9"/>
          <w:kern w:val="0"/>
          <w:sz w:val="24"/>
          <w:szCs w:val="24"/>
          <w:lang w:val="en-US" w:eastAsia="zh-CN" w:bidi="ar-SA"/>
        </w:rPr>
        <w:t>8</w:t>
      </w:r>
      <w:r>
        <w:rPr>
          <w:rFonts w:hint="eastAsia" w:ascii="仿宋" w:hAnsi="仿宋" w:eastAsia="仿宋" w:cs="仿宋"/>
          <w:snapToGrid w:val="0"/>
          <w:color w:val="000000"/>
          <w:spacing w:val="9"/>
          <w:kern w:val="0"/>
          <w:sz w:val="24"/>
          <w:szCs w:val="24"/>
          <w:lang w:val="en-US" w:eastAsia="en-US" w:bidi="ar-SA"/>
        </w:rPr>
        <w:t>人。在课程设置上以《算法设计与分析》、《全栈开发技术》、《</w:t>
      </w:r>
      <w:r>
        <w:rPr>
          <w:rFonts w:hint="eastAsia" w:ascii="仿宋" w:hAnsi="仿宋" w:eastAsia="仿宋" w:cs="仿宋"/>
          <w:snapToGrid w:val="0"/>
          <w:color w:val="000000"/>
          <w:spacing w:val="-4"/>
          <w:kern w:val="0"/>
          <w:sz w:val="24"/>
          <w:szCs w:val="24"/>
          <w:lang w:val="en-US" w:eastAsia="zh-CN" w:bidi="ar-SA"/>
        </w:rPr>
        <w:t>智能机器人与控制系统</w:t>
      </w:r>
      <w:r>
        <w:rPr>
          <w:rFonts w:hint="eastAsia" w:ascii="仿宋" w:hAnsi="仿宋" w:eastAsia="仿宋" w:cs="仿宋"/>
          <w:snapToGrid w:val="0"/>
          <w:color w:val="000000"/>
          <w:spacing w:val="9"/>
          <w:kern w:val="0"/>
          <w:sz w:val="24"/>
          <w:szCs w:val="24"/>
          <w:lang w:val="en-US" w:eastAsia="en-US" w:bidi="ar-SA"/>
        </w:rPr>
        <w:t>》、《</w:t>
      </w:r>
      <w:r>
        <w:rPr>
          <w:rFonts w:hint="eastAsia" w:ascii="仿宋" w:hAnsi="仿宋" w:eastAsia="仿宋" w:cs="仿宋"/>
          <w:snapToGrid w:val="0"/>
          <w:color w:val="000000"/>
          <w:spacing w:val="-4"/>
          <w:kern w:val="0"/>
          <w:sz w:val="24"/>
          <w:szCs w:val="24"/>
          <w:lang w:val="en-US" w:eastAsia="zh-CN" w:bidi="ar-SA"/>
        </w:rPr>
        <w:t>工业视觉检测系统与应用</w:t>
      </w:r>
      <w:r>
        <w:rPr>
          <w:rFonts w:hint="eastAsia" w:ascii="仿宋" w:hAnsi="仿宋" w:eastAsia="仿宋" w:cs="仿宋"/>
          <w:snapToGrid w:val="0"/>
          <w:color w:val="000000"/>
          <w:spacing w:val="9"/>
          <w:kern w:val="0"/>
          <w:sz w:val="24"/>
          <w:szCs w:val="24"/>
          <w:lang w:val="en-US" w:eastAsia="en-US" w:bidi="ar-SA"/>
        </w:rPr>
        <w:t>》、《</w:t>
      </w:r>
      <w:r>
        <w:rPr>
          <w:rFonts w:hint="eastAsia" w:ascii="仿宋" w:hAnsi="仿宋" w:eastAsia="仿宋" w:cs="仿宋"/>
          <w:snapToGrid w:val="0"/>
          <w:color w:val="000000"/>
          <w:spacing w:val="-4"/>
          <w:kern w:val="0"/>
          <w:sz w:val="24"/>
          <w:szCs w:val="24"/>
          <w:lang w:val="en-US" w:eastAsia="zh-CN" w:bidi="ar-SA"/>
        </w:rPr>
        <w:t>智能软件系统开发综合实践</w:t>
      </w:r>
      <w:r>
        <w:rPr>
          <w:rFonts w:hint="eastAsia" w:ascii="仿宋" w:hAnsi="仿宋" w:eastAsia="仿宋" w:cs="仿宋"/>
          <w:snapToGrid w:val="0"/>
          <w:color w:val="000000"/>
          <w:spacing w:val="9"/>
          <w:kern w:val="0"/>
          <w:sz w:val="24"/>
          <w:szCs w:val="24"/>
          <w:lang w:val="en-US" w:eastAsia="en-US" w:bidi="ar-SA"/>
        </w:rPr>
        <w:t>》等为主要课程，课程设置合理，着重打造符合行业需求、创新应用的智能软件开发课程体系，培养具有工程实践能力、科技创新素养的综合型人才。</w:t>
      </w:r>
    </w:p>
    <w:p w14:paraId="3EFE003C">
      <w:pPr>
        <w:pStyle w:val="2"/>
        <w:keepNext w:val="0"/>
        <w:keepLines w:val="0"/>
        <w:pageBreakBefore w:val="0"/>
        <w:widowControl/>
        <w:kinsoku w:val="0"/>
        <w:wordWrap/>
        <w:overflowPunct/>
        <w:topLinePunct w:val="0"/>
        <w:autoSpaceDE w:val="0"/>
        <w:autoSpaceDN w:val="0"/>
        <w:bidi w:val="0"/>
        <w:adjustRightInd w:val="0"/>
        <w:snapToGrid w:val="0"/>
        <w:spacing w:line="440" w:lineRule="exact"/>
        <w:ind w:right="0" w:firstLine="516" w:firstLineChars="200"/>
        <w:jc w:val="both"/>
        <w:textAlignment w:val="baseline"/>
        <w:rPr>
          <w:spacing w:val="9"/>
          <w:sz w:val="24"/>
          <w:szCs w:val="24"/>
        </w:rPr>
      </w:pPr>
      <w:r>
        <w:rPr>
          <w:rFonts w:hint="eastAsia"/>
          <w:spacing w:val="9"/>
          <w:sz w:val="24"/>
          <w:szCs w:val="24"/>
        </w:rPr>
        <w:t>智能软件开发微专业以国家战略需求为牵引，依托一流专业平台与产业学院优势，携手创新型企业，通过前沿课程学习、实战项目锻炼和学科竞赛历练，全方位提升学生的智能软件开发能力与综合素质，为我国智能软件产业的发展输送具备前瞻性视野、跨领域融合能力及强烈创新意识的高端人才。</w:t>
      </w:r>
    </w:p>
    <w:p w14:paraId="57C3391D">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spacing w:val="4"/>
          <w:sz w:val="28"/>
          <w:szCs w:val="28"/>
          <w14:textOutline w14:w="5791" w14:cap="flat" w14:cmpd="sng">
            <w14:solidFill>
              <w14:srgbClr w14:val="000000"/>
            </w14:solidFill>
            <w14:prstDash w14:val="solid"/>
            <w14:miter w14:val="0"/>
          </w14:textOutline>
        </w:rPr>
      </w:pPr>
      <w:r>
        <w:rPr>
          <w:spacing w:val="4"/>
          <w:sz w:val="28"/>
          <w:szCs w:val="28"/>
          <w14:textOutline w14:w="5791" w14:cap="flat" w14:cmpd="sng">
            <w14:solidFill>
              <w14:srgbClr w14:val="000000"/>
            </w14:solidFill>
            <w14:prstDash w14:val="solid"/>
            <w14:miter w14:val="0"/>
          </w14:textOutline>
        </w:rPr>
        <w:t>二、</w:t>
      </w:r>
      <w:r>
        <w:rPr>
          <w:rFonts w:hint="eastAsia"/>
          <w:spacing w:val="4"/>
          <w:sz w:val="28"/>
          <w:szCs w:val="28"/>
          <w:lang w:val="en-US" w:eastAsia="zh-CN"/>
          <w14:textOutline w14:w="5791" w14:cap="flat" w14:cmpd="sng">
            <w14:solidFill>
              <w14:srgbClr w14:val="000000"/>
            </w14:solidFill>
            <w14:prstDash w14:val="solid"/>
            <w14:miter w14:val="0"/>
          </w14:textOutline>
        </w:rPr>
        <w:t>培养目标</w:t>
      </w:r>
    </w:p>
    <w:p w14:paraId="5F282DB9">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智能软件开发微专业秉承“服务地方经济，培养立足安徽，服务工业”的办学思想，面向国家大型工业软件战略需求和产业发展对“智能+软件”复合型创新工程人才的迫切需求，培养具有良好的人文科学素养、职业精神和社会责任感，熟悉人工智能、软件开发基本理论与应用方法，能够从事智能软件相关的科研、开发、应用和管理工作，具备国际视野和创新意识的高素质应用型人才。</w:t>
      </w:r>
    </w:p>
    <w:p w14:paraId="2CDDE0A1">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培养目标主要有以下五项：</w:t>
      </w:r>
    </w:p>
    <w:p w14:paraId="0A8A8FB6">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目标1：具备人文科学素养、工程师职业道德和社会责任感；</w:t>
      </w:r>
    </w:p>
    <w:p w14:paraId="75C5B7E3">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目标2：能够运用人工智能、机器视觉相关专业知识和工程技术标准辨别、分析和解决人工智能和工业软件相关应用领域的工程问题；</w:t>
      </w:r>
    </w:p>
    <w:p w14:paraId="238ABD2F">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目标3：从相关社会、环境和经济等角度管理工程项目；</w:t>
      </w:r>
    </w:p>
    <w:p w14:paraId="6A1013DA">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目标4：适应团队工作环境，能与同事、客户和公众进行有效沟通，能进行跨文化交流；</w:t>
      </w:r>
    </w:p>
    <w:p w14:paraId="072B0FCC">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目标5：具备创新意识、可持续发展理念和终身学习能力。</w:t>
      </w:r>
    </w:p>
    <w:p w14:paraId="16AE1CA1">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rPr>
          <w:spacing w:val="4"/>
          <w:sz w:val="28"/>
          <w:szCs w:val="28"/>
          <w14:textOutline w14:w="5791" w14:cap="flat" w14:cmpd="sng">
            <w14:solidFill>
              <w14:srgbClr w14:val="000000"/>
            </w14:solidFill>
            <w14:prstDash w14:val="solid"/>
            <w14:miter w14:val="0"/>
          </w14:textOutline>
        </w:rPr>
      </w:pPr>
      <w:r>
        <w:rPr>
          <w:spacing w:val="4"/>
          <w:sz w:val="28"/>
          <w:szCs w:val="28"/>
          <w14:textOutline w14:w="5791" w14:cap="flat" w14:cmpd="sng">
            <w14:solidFill>
              <w14:srgbClr w14:val="000000"/>
            </w14:solidFill>
            <w14:prstDash w14:val="solid"/>
            <w14:miter w14:val="0"/>
          </w14:textOutline>
        </w:rPr>
        <w:t>三、</w:t>
      </w:r>
      <w:r>
        <w:rPr>
          <w:rFonts w:hint="eastAsia"/>
          <w:spacing w:val="4"/>
          <w:sz w:val="28"/>
          <w:szCs w:val="28"/>
          <w:lang w:val="en-US" w:eastAsia="zh-CN"/>
          <w14:textOutline w14:w="5791" w14:cap="flat" w14:cmpd="sng">
            <w14:solidFill>
              <w14:srgbClr w14:val="000000"/>
            </w14:solidFill>
            <w14:prstDash w14:val="solid"/>
            <w14:miter w14:val="0"/>
          </w14:textOutline>
        </w:rPr>
        <w:t>修读要求</w:t>
      </w:r>
    </w:p>
    <w:p w14:paraId="0BF6C591">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学生在修读智能软件开发微专业时，需满足以下要求：</w:t>
      </w:r>
    </w:p>
    <w:p w14:paraId="6AFC80E2">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（1）修读专业课程，学生需完成全栈开发技术、算法设计与分析、人工智能应用基础、数据库原理及应用、智能软件开发等课程，掌握智能软件开发的基本理论和方法；</w:t>
      </w:r>
    </w:p>
    <w:p w14:paraId="448D805E">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（2）参与实践项目，学生需参与实践项目，通过调研实际场景需求，开发智能软件，锻炼分析问题、解决问题及工程实践能力，将所学应用于实际场景中；</w:t>
      </w:r>
    </w:p>
    <w:p w14:paraId="174959F4">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（3）完成毕业论文，学生需完成毕业论文，选择一个具体的智能软件开发项目，完成软件开发，并撰写毕业论文；</w:t>
      </w:r>
    </w:p>
    <w:p w14:paraId="49DBC073">
      <w:pPr>
        <w:keepNext w:val="0"/>
        <w:keepLines w:val="0"/>
        <w:pageBreakBefore w:val="0"/>
        <w:widowControl/>
        <w:kinsoku w:val="0"/>
        <w:wordWrap/>
        <w:overflowPunct/>
        <w:topLinePunct w:val="0"/>
        <w:autoSpaceDE w:val="0"/>
        <w:autoSpaceDN w:val="0"/>
        <w:bidi w:val="0"/>
        <w:adjustRightInd w:val="0"/>
        <w:snapToGrid w:val="0"/>
        <w:spacing w:line="440" w:lineRule="exact"/>
        <w:ind w:firstLine="516" w:firstLineChars="200"/>
        <w:textAlignment w:val="baseline"/>
        <w:rPr>
          <w:rFonts w:hint="eastAsia" w:ascii="仿宋" w:hAnsi="仿宋" w:eastAsia="仿宋" w:cs="仿宋"/>
          <w:snapToGrid w:val="0"/>
          <w:color w:val="000000"/>
          <w:spacing w:val="9"/>
          <w:kern w:val="0"/>
          <w:sz w:val="24"/>
          <w:szCs w:val="24"/>
          <w:lang w:val="en-US" w:eastAsia="en-US" w:bidi="ar-SA"/>
        </w:rPr>
      </w:pPr>
      <w:r>
        <w:rPr>
          <w:rFonts w:hint="eastAsia" w:ascii="仿宋" w:hAnsi="仿宋" w:eastAsia="仿宋" w:cs="仿宋"/>
          <w:snapToGrid w:val="0"/>
          <w:color w:val="000000"/>
          <w:spacing w:val="9"/>
          <w:kern w:val="0"/>
          <w:sz w:val="24"/>
          <w:szCs w:val="24"/>
          <w:lang w:val="en-US" w:eastAsia="en-US" w:bidi="ar-SA"/>
        </w:rPr>
        <w:t>（4）参加实习或企业项目，学生可选择相关的实习或企业项目，与实际工作结合，提升智能软件开发能力，并积累实际工作经验。</w:t>
      </w:r>
    </w:p>
    <w:p w14:paraId="6EE5BD94">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rFonts w:ascii="仿宋" w:hAnsi="仿宋" w:eastAsia="仿宋" w:cs="仿宋"/>
          <w:snapToGrid w:val="0"/>
          <w:color w:val="000000"/>
          <w:spacing w:val="9"/>
          <w:kern w:val="0"/>
          <w:sz w:val="24"/>
          <w:szCs w:val="24"/>
          <w:lang w:val="en-US" w:eastAsia="en-US" w:bidi="ar-SA"/>
        </w:rPr>
      </w:pPr>
      <w:r>
        <w:rPr>
          <w:spacing w:val="4"/>
          <w:sz w:val="28"/>
          <w:szCs w:val="28"/>
          <w14:textOutline w14:w="5791" w14:cap="flat" w14:cmpd="sng">
            <w14:solidFill>
              <w14:srgbClr w14:val="000000"/>
            </w14:solidFill>
            <w14:prstDash w14:val="solid"/>
            <w14:miter w14:val="0"/>
          </w14:textOutline>
        </w:rPr>
        <w:t>四、</w:t>
      </w:r>
      <w:r>
        <w:rPr>
          <w:rFonts w:hint="eastAsia"/>
          <w:spacing w:val="4"/>
          <w:sz w:val="28"/>
          <w:szCs w:val="28"/>
          <w:lang w:val="en-US" w:eastAsia="zh-CN"/>
          <w14:textOutline w14:w="5791" w14:cap="flat" w14:cmpd="sng">
            <w14:solidFill>
              <w14:srgbClr w14:val="000000"/>
            </w14:solidFill>
            <w14:prstDash w14:val="solid"/>
            <w14:miter w14:val="0"/>
          </w14:textOutline>
        </w:rPr>
        <w:t>培养对象与条件</w:t>
      </w:r>
    </w:p>
    <w:p w14:paraId="3A63387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bCs/>
          <w:kern w:val="0"/>
          <w:sz w:val="24"/>
        </w:rPr>
      </w:pPr>
      <w:r>
        <w:rPr>
          <w:rFonts w:hint="eastAsia" w:ascii="仿宋" w:hAnsi="仿宋" w:eastAsia="仿宋" w:cs="仿宋"/>
          <w:bCs/>
          <w:kern w:val="0"/>
          <w:sz w:val="24"/>
        </w:rPr>
        <w:t>（1）智能软件开发微专业培养对象为我校</w:t>
      </w:r>
      <w:r>
        <w:rPr>
          <w:rFonts w:hint="eastAsia" w:ascii="仿宋" w:hAnsi="仿宋" w:eastAsia="仿宋" w:cs="仿宋"/>
          <w:bCs/>
          <w:kern w:val="0"/>
          <w:sz w:val="24"/>
          <w:lang w:val="en-US" w:eastAsia="zh-CN"/>
        </w:rPr>
        <w:t>一、</w:t>
      </w:r>
      <w:r>
        <w:rPr>
          <w:rFonts w:hint="eastAsia" w:ascii="仿宋" w:hAnsi="仿宋" w:eastAsia="仿宋" w:cs="仿宋"/>
          <w:bCs/>
          <w:kern w:val="0"/>
          <w:sz w:val="24"/>
        </w:rPr>
        <w:t>二年级</w:t>
      </w:r>
      <w:r>
        <w:rPr>
          <w:rFonts w:hint="eastAsia" w:ascii="仿宋" w:hAnsi="仿宋" w:eastAsia="仿宋" w:cs="仿宋"/>
          <w:bCs/>
          <w:kern w:val="0"/>
          <w:sz w:val="24"/>
          <w:lang w:val="en-US" w:eastAsia="zh-CN"/>
        </w:rPr>
        <w:t>及</w:t>
      </w:r>
      <w:r>
        <w:rPr>
          <w:rFonts w:hint="eastAsia" w:ascii="仿宋" w:hAnsi="仿宋" w:eastAsia="仿宋" w:cs="仿宋"/>
          <w:bCs/>
          <w:kern w:val="0"/>
          <w:sz w:val="24"/>
        </w:rPr>
        <w:t>以上全日制理工科在校本科生；</w:t>
      </w:r>
    </w:p>
    <w:p w14:paraId="13883E2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bCs/>
          <w:kern w:val="0"/>
          <w:sz w:val="24"/>
        </w:rPr>
      </w:pPr>
      <w:r>
        <w:rPr>
          <w:rFonts w:hint="eastAsia" w:ascii="仿宋" w:hAnsi="仿宋" w:eastAsia="仿宋" w:cs="仿宋"/>
          <w:bCs/>
          <w:kern w:val="0"/>
          <w:sz w:val="24"/>
        </w:rPr>
        <w:t>（2）前置课程要求已选修或自学过Java程序设计、Web应用开发、C语言程序设计、数据结构、Python程序设计、线性代数等课程的学生；</w:t>
      </w:r>
    </w:p>
    <w:p w14:paraId="77DB31F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仿宋" w:hAnsi="仿宋" w:eastAsia="仿宋" w:cs="仿宋"/>
          <w:snapToGrid w:val="0"/>
          <w:color w:val="000000"/>
          <w:spacing w:val="9"/>
          <w:kern w:val="0"/>
          <w:sz w:val="24"/>
          <w:szCs w:val="24"/>
          <w:lang w:val="en-US" w:eastAsia="en-US" w:bidi="ar-SA"/>
        </w:rPr>
      </w:pPr>
      <w:r>
        <w:rPr>
          <w:rFonts w:hint="eastAsia" w:ascii="仿宋" w:hAnsi="仿宋" w:eastAsia="仿宋" w:cs="仿宋"/>
          <w:bCs/>
          <w:kern w:val="0"/>
          <w:sz w:val="24"/>
        </w:rPr>
        <w:t>（3）遵纪守法、品行端正、无违纪记录，学生学有余力、主修专业无不及格课程。微专业本着“自愿申请、公平竞争、公开选拔、择优录取”的原则，选拔有潜质的优秀学生。</w:t>
      </w:r>
    </w:p>
    <w:p w14:paraId="68E53197">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spacing w:val="4"/>
          <w:sz w:val="28"/>
          <w:szCs w:val="28"/>
          <w14:textOutline w14:w="5791" w14:cap="flat" w14:cmpd="sng">
            <w14:solidFill>
              <w14:srgbClr w14:val="000000"/>
            </w14:solidFill>
            <w14:prstDash w14:val="solid"/>
            <w14:miter w14:val="0"/>
          </w14:textOutline>
        </w:rPr>
      </w:pPr>
      <w:r>
        <w:rPr>
          <w:spacing w:val="4"/>
          <w:sz w:val="28"/>
          <w:szCs w:val="28"/>
          <w14:textOutline w14:w="5791" w14:cap="flat" w14:cmpd="sng">
            <w14:solidFill>
              <w14:srgbClr w14:val="000000"/>
            </w14:solidFill>
            <w14:prstDash w14:val="solid"/>
            <w14:miter w14:val="0"/>
          </w14:textOutline>
        </w:rPr>
        <w:t>五、</w:t>
      </w:r>
      <w:r>
        <w:rPr>
          <w:rFonts w:hint="eastAsia"/>
          <w:spacing w:val="4"/>
          <w:sz w:val="28"/>
          <w:szCs w:val="28"/>
          <w:lang w:val="en-US" w:eastAsia="zh-CN"/>
          <w14:textOutline w14:w="5791" w14:cap="flat" w14:cmpd="sng">
            <w14:solidFill>
              <w14:srgbClr w14:val="000000"/>
            </w14:solidFill>
            <w14:prstDash w14:val="solid"/>
            <w14:miter w14:val="0"/>
          </w14:textOutline>
        </w:rPr>
        <w:t>学分与证书</w:t>
      </w:r>
    </w:p>
    <w:p w14:paraId="51F0713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仿宋" w:hAnsi="仿宋" w:eastAsia="仿宋" w:cs="仿宋"/>
          <w:bCs/>
          <w:kern w:val="0"/>
          <w:sz w:val="24"/>
          <w:lang w:val="en-US" w:eastAsia="en-US"/>
        </w:rPr>
      </w:pPr>
      <w:r>
        <w:rPr>
          <w:rFonts w:hint="eastAsia" w:ascii="仿宋" w:hAnsi="仿宋" w:eastAsia="仿宋" w:cs="仿宋"/>
          <w:bCs/>
          <w:kern w:val="0"/>
          <w:sz w:val="24"/>
        </w:rPr>
        <w:t>学生在毕业前，修满本培养方案规定的13个学分，颁发智能软件开发“微专业”证书</w:t>
      </w:r>
      <w:r>
        <w:rPr>
          <w:rFonts w:hint="eastAsia" w:ascii="仿宋" w:hAnsi="仿宋" w:eastAsia="仿宋" w:cs="仿宋"/>
          <w:bCs/>
          <w:kern w:val="0"/>
          <w:sz w:val="24"/>
          <w:lang w:val="en-US" w:eastAsia="en-US"/>
        </w:rPr>
        <w:t>。</w:t>
      </w:r>
    </w:p>
    <w:p w14:paraId="6C0119BD">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rFonts w:hint="eastAsia"/>
          <w:spacing w:val="4"/>
          <w:sz w:val="28"/>
          <w:szCs w:val="28"/>
          <w:lang w:val="en-US" w:eastAsia="zh-CN"/>
          <w14:textOutline w14:w="5791" w14:cap="flat" w14:cmpd="sng">
            <w14:solidFill>
              <w14:srgbClr w14:val="000000"/>
            </w14:solidFill>
            <w14:prstDash w14:val="solid"/>
            <w14:miter w14:val="0"/>
          </w14:textOutline>
        </w:rPr>
      </w:pPr>
      <w:r>
        <w:rPr>
          <w:rFonts w:hint="eastAsia"/>
          <w:spacing w:val="4"/>
          <w:sz w:val="28"/>
          <w:szCs w:val="28"/>
          <w:lang w:val="en-US" w:eastAsia="zh-CN"/>
          <w14:textOutline w14:w="5791" w14:cap="flat" w14:cmpd="sng">
            <w14:solidFill>
              <w14:srgbClr w14:val="000000"/>
            </w14:solidFill>
            <w14:prstDash w14:val="solid"/>
            <w14:miter w14:val="0"/>
          </w14:textOutline>
        </w:rPr>
        <w:t>课程设置</w:t>
      </w:r>
    </w:p>
    <w:tbl>
      <w:tblPr>
        <w:tblStyle w:val="6"/>
        <w:tblW w:w="10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0"/>
        <w:gridCol w:w="707"/>
        <w:gridCol w:w="1359"/>
        <w:gridCol w:w="367"/>
        <w:gridCol w:w="413"/>
        <w:gridCol w:w="529"/>
        <w:gridCol w:w="368"/>
        <w:gridCol w:w="368"/>
        <w:gridCol w:w="420"/>
        <w:gridCol w:w="469"/>
        <w:gridCol w:w="393"/>
        <w:gridCol w:w="633"/>
        <w:gridCol w:w="588"/>
        <w:gridCol w:w="1142"/>
        <w:gridCol w:w="1628"/>
      </w:tblGrid>
      <w:tr w14:paraId="4180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 w:hRule="atLeast"/>
          <w:jc w:val="center"/>
        </w:trPr>
        <w:tc>
          <w:tcPr>
            <w:tcW w:w="760" w:type="dxa"/>
            <w:vMerge w:val="restart"/>
            <w:vAlign w:val="center"/>
          </w:tcPr>
          <w:p w14:paraId="118CFD9E">
            <w:pPr>
              <w:spacing w:line="288" w:lineRule="auto"/>
              <w:jc w:val="center"/>
              <w:rPr>
                <w:b/>
                <w:bCs/>
                <w:sz w:val="20"/>
                <w:szCs w:val="20"/>
              </w:rPr>
            </w:pPr>
            <w:r>
              <w:rPr>
                <w:b/>
                <w:bCs/>
                <w:kern w:val="0"/>
                <w:sz w:val="20"/>
                <w:szCs w:val="20"/>
              </w:rPr>
              <w:t>序号</w:t>
            </w:r>
          </w:p>
        </w:tc>
        <w:tc>
          <w:tcPr>
            <w:tcW w:w="707" w:type="dxa"/>
            <w:vMerge w:val="restart"/>
            <w:vAlign w:val="center"/>
          </w:tcPr>
          <w:p w14:paraId="071DFF82">
            <w:pPr>
              <w:spacing w:line="288" w:lineRule="auto"/>
              <w:jc w:val="center"/>
              <w:rPr>
                <w:b/>
                <w:bCs/>
                <w:sz w:val="20"/>
                <w:szCs w:val="20"/>
              </w:rPr>
            </w:pPr>
            <w:r>
              <w:rPr>
                <w:b/>
                <w:bCs/>
                <w:kern w:val="0"/>
                <w:sz w:val="20"/>
                <w:szCs w:val="20"/>
              </w:rPr>
              <w:t>课程代码</w:t>
            </w:r>
          </w:p>
        </w:tc>
        <w:tc>
          <w:tcPr>
            <w:tcW w:w="1359" w:type="dxa"/>
            <w:vMerge w:val="restart"/>
            <w:vAlign w:val="center"/>
          </w:tcPr>
          <w:p w14:paraId="6E4C2B74">
            <w:pPr>
              <w:spacing w:line="288" w:lineRule="auto"/>
              <w:jc w:val="center"/>
              <w:rPr>
                <w:b/>
                <w:bCs/>
                <w:sz w:val="20"/>
                <w:szCs w:val="20"/>
              </w:rPr>
            </w:pPr>
            <w:r>
              <w:rPr>
                <w:b/>
                <w:bCs/>
                <w:kern w:val="0"/>
                <w:sz w:val="20"/>
                <w:szCs w:val="20"/>
              </w:rPr>
              <w:t>课程名称</w:t>
            </w:r>
          </w:p>
        </w:tc>
        <w:tc>
          <w:tcPr>
            <w:tcW w:w="367" w:type="dxa"/>
            <w:vMerge w:val="restart"/>
            <w:vAlign w:val="center"/>
          </w:tcPr>
          <w:p w14:paraId="5ED8DFFB">
            <w:pPr>
              <w:spacing w:line="288" w:lineRule="auto"/>
              <w:jc w:val="center"/>
              <w:rPr>
                <w:b/>
                <w:bCs/>
                <w:sz w:val="20"/>
                <w:szCs w:val="20"/>
              </w:rPr>
            </w:pPr>
            <w:r>
              <w:rPr>
                <w:b/>
                <w:bCs/>
                <w:kern w:val="0"/>
                <w:sz w:val="20"/>
                <w:szCs w:val="20"/>
              </w:rPr>
              <w:t>学分</w:t>
            </w:r>
          </w:p>
        </w:tc>
        <w:tc>
          <w:tcPr>
            <w:tcW w:w="413" w:type="dxa"/>
            <w:vMerge w:val="restart"/>
            <w:vAlign w:val="center"/>
          </w:tcPr>
          <w:p w14:paraId="08654E88">
            <w:pPr>
              <w:spacing w:line="288" w:lineRule="auto"/>
              <w:jc w:val="center"/>
              <w:rPr>
                <w:b/>
                <w:bCs/>
                <w:sz w:val="20"/>
                <w:szCs w:val="20"/>
              </w:rPr>
            </w:pPr>
            <w:r>
              <w:rPr>
                <w:b/>
                <w:bCs/>
                <w:kern w:val="0"/>
                <w:sz w:val="20"/>
                <w:szCs w:val="20"/>
              </w:rPr>
              <w:t>周学时</w:t>
            </w:r>
          </w:p>
        </w:tc>
        <w:tc>
          <w:tcPr>
            <w:tcW w:w="529" w:type="dxa"/>
            <w:vMerge w:val="restart"/>
            <w:vAlign w:val="center"/>
          </w:tcPr>
          <w:p w14:paraId="2F552420">
            <w:pPr>
              <w:spacing w:line="288" w:lineRule="auto"/>
              <w:jc w:val="center"/>
              <w:rPr>
                <w:b/>
                <w:bCs/>
                <w:sz w:val="20"/>
                <w:szCs w:val="20"/>
              </w:rPr>
            </w:pPr>
            <w:r>
              <w:rPr>
                <w:b/>
                <w:bCs/>
                <w:kern w:val="0"/>
                <w:sz w:val="20"/>
                <w:szCs w:val="20"/>
              </w:rPr>
              <w:t>总学时</w:t>
            </w:r>
          </w:p>
        </w:tc>
        <w:tc>
          <w:tcPr>
            <w:tcW w:w="1625" w:type="dxa"/>
            <w:gridSpan w:val="4"/>
            <w:vAlign w:val="center"/>
          </w:tcPr>
          <w:p w14:paraId="6E22476B">
            <w:pPr>
              <w:spacing w:line="288" w:lineRule="auto"/>
              <w:jc w:val="center"/>
              <w:rPr>
                <w:b/>
                <w:bCs/>
                <w:sz w:val="20"/>
                <w:szCs w:val="20"/>
              </w:rPr>
            </w:pPr>
            <w:r>
              <w:rPr>
                <w:b/>
                <w:bCs/>
                <w:kern w:val="0"/>
                <w:sz w:val="20"/>
                <w:szCs w:val="20"/>
              </w:rPr>
              <w:t>学时分配</w:t>
            </w:r>
          </w:p>
        </w:tc>
        <w:tc>
          <w:tcPr>
            <w:tcW w:w="393" w:type="dxa"/>
            <w:vMerge w:val="restart"/>
            <w:vAlign w:val="center"/>
          </w:tcPr>
          <w:p w14:paraId="2E04CAEB">
            <w:pPr>
              <w:spacing w:line="288" w:lineRule="auto"/>
              <w:jc w:val="center"/>
              <w:rPr>
                <w:b/>
                <w:bCs/>
                <w:sz w:val="20"/>
                <w:szCs w:val="20"/>
              </w:rPr>
            </w:pPr>
            <w:r>
              <w:rPr>
                <w:b/>
                <w:bCs/>
                <w:kern w:val="0"/>
                <w:sz w:val="20"/>
                <w:szCs w:val="20"/>
              </w:rPr>
              <w:t>开课学期</w:t>
            </w:r>
          </w:p>
        </w:tc>
        <w:tc>
          <w:tcPr>
            <w:tcW w:w="633" w:type="dxa"/>
            <w:vMerge w:val="restart"/>
            <w:vAlign w:val="center"/>
          </w:tcPr>
          <w:p w14:paraId="76D3017A">
            <w:pPr>
              <w:tabs>
                <w:tab w:val="left" w:pos="233"/>
              </w:tabs>
              <w:spacing w:line="288" w:lineRule="auto"/>
              <w:rPr>
                <w:b/>
                <w:bCs/>
                <w:sz w:val="20"/>
                <w:szCs w:val="20"/>
              </w:rPr>
            </w:pPr>
            <w:r>
              <w:rPr>
                <w:b/>
                <w:bCs/>
                <w:kern w:val="0"/>
                <w:sz w:val="20"/>
                <w:szCs w:val="20"/>
              </w:rPr>
              <w:t>授课教师</w:t>
            </w:r>
          </w:p>
        </w:tc>
        <w:tc>
          <w:tcPr>
            <w:tcW w:w="588" w:type="dxa"/>
            <w:vMerge w:val="restart"/>
            <w:vAlign w:val="center"/>
          </w:tcPr>
          <w:p w14:paraId="6F5FDE75">
            <w:pPr>
              <w:tabs>
                <w:tab w:val="left" w:pos="233"/>
              </w:tabs>
              <w:spacing w:line="288" w:lineRule="auto"/>
              <w:rPr>
                <w:rFonts w:eastAsia="宋体"/>
                <w:b/>
                <w:bCs/>
                <w:sz w:val="20"/>
                <w:szCs w:val="20"/>
              </w:rPr>
            </w:pPr>
            <w:r>
              <w:rPr>
                <w:b/>
                <w:bCs/>
                <w:kern w:val="0"/>
                <w:sz w:val="20"/>
                <w:szCs w:val="20"/>
              </w:rPr>
              <w:t>考核方式</w:t>
            </w:r>
          </w:p>
        </w:tc>
        <w:tc>
          <w:tcPr>
            <w:tcW w:w="1142" w:type="dxa"/>
            <w:vMerge w:val="restart"/>
            <w:vAlign w:val="center"/>
          </w:tcPr>
          <w:p w14:paraId="7F609C46">
            <w:pPr>
              <w:spacing w:line="288" w:lineRule="auto"/>
              <w:jc w:val="center"/>
              <w:rPr>
                <w:b/>
                <w:bCs/>
                <w:sz w:val="20"/>
                <w:szCs w:val="20"/>
              </w:rPr>
            </w:pPr>
            <w:r>
              <w:rPr>
                <w:b/>
                <w:bCs/>
                <w:kern w:val="0"/>
                <w:sz w:val="20"/>
                <w:szCs w:val="20"/>
              </w:rPr>
              <w:t>开课单位</w:t>
            </w:r>
          </w:p>
        </w:tc>
        <w:tc>
          <w:tcPr>
            <w:tcW w:w="1628" w:type="dxa"/>
            <w:vMerge w:val="restart"/>
            <w:vAlign w:val="center"/>
          </w:tcPr>
          <w:p w14:paraId="3DB0FF1F">
            <w:pPr>
              <w:spacing w:line="288" w:lineRule="auto"/>
              <w:jc w:val="center"/>
              <w:rPr>
                <w:b/>
                <w:bCs/>
                <w:sz w:val="20"/>
                <w:szCs w:val="20"/>
              </w:rPr>
            </w:pPr>
            <w:r>
              <w:rPr>
                <w:b/>
                <w:bCs/>
                <w:kern w:val="0"/>
                <w:sz w:val="20"/>
                <w:szCs w:val="20"/>
              </w:rPr>
              <w:t>备注：须修读的前置课程</w:t>
            </w:r>
          </w:p>
        </w:tc>
      </w:tr>
      <w:tr w14:paraId="4D4A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jc w:val="center"/>
        </w:trPr>
        <w:tc>
          <w:tcPr>
            <w:tcW w:w="760" w:type="dxa"/>
            <w:vMerge w:val="continue"/>
            <w:vAlign w:val="center"/>
          </w:tcPr>
          <w:p w14:paraId="59565AAB">
            <w:pPr>
              <w:widowControl/>
              <w:spacing w:line="360" w:lineRule="auto"/>
              <w:jc w:val="center"/>
              <w:rPr>
                <w:b/>
                <w:bCs/>
                <w:sz w:val="20"/>
                <w:szCs w:val="20"/>
              </w:rPr>
            </w:pPr>
          </w:p>
        </w:tc>
        <w:tc>
          <w:tcPr>
            <w:tcW w:w="707" w:type="dxa"/>
            <w:vMerge w:val="continue"/>
            <w:vAlign w:val="center"/>
          </w:tcPr>
          <w:p w14:paraId="55F17838">
            <w:pPr>
              <w:widowControl/>
              <w:spacing w:line="360" w:lineRule="auto"/>
              <w:jc w:val="center"/>
              <w:rPr>
                <w:b/>
                <w:bCs/>
                <w:sz w:val="20"/>
                <w:szCs w:val="20"/>
              </w:rPr>
            </w:pPr>
          </w:p>
        </w:tc>
        <w:tc>
          <w:tcPr>
            <w:tcW w:w="1359" w:type="dxa"/>
            <w:vMerge w:val="continue"/>
            <w:vAlign w:val="center"/>
          </w:tcPr>
          <w:p w14:paraId="3661B343">
            <w:pPr>
              <w:widowControl/>
              <w:spacing w:line="360" w:lineRule="auto"/>
              <w:jc w:val="center"/>
              <w:rPr>
                <w:b/>
                <w:bCs/>
                <w:sz w:val="20"/>
                <w:szCs w:val="20"/>
              </w:rPr>
            </w:pPr>
          </w:p>
        </w:tc>
        <w:tc>
          <w:tcPr>
            <w:tcW w:w="367" w:type="dxa"/>
            <w:vMerge w:val="continue"/>
            <w:vAlign w:val="center"/>
          </w:tcPr>
          <w:p w14:paraId="491F11E2">
            <w:pPr>
              <w:widowControl/>
              <w:spacing w:line="360" w:lineRule="auto"/>
              <w:jc w:val="center"/>
              <w:rPr>
                <w:b/>
                <w:bCs/>
                <w:sz w:val="20"/>
                <w:szCs w:val="20"/>
              </w:rPr>
            </w:pPr>
          </w:p>
        </w:tc>
        <w:tc>
          <w:tcPr>
            <w:tcW w:w="413" w:type="dxa"/>
            <w:vMerge w:val="continue"/>
            <w:vAlign w:val="center"/>
          </w:tcPr>
          <w:p w14:paraId="4C9D8593">
            <w:pPr>
              <w:widowControl/>
              <w:spacing w:line="360" w:lineRule="auto"/>
              <w:jc w:val="center"/>
              <w:rPr>
                <w:b/>
                <w:bCs/>
                <w:sz w:val="20"/>
                <w:szCs w:val="20"/>
              </w:rPr>
            </w:pPr>
          </w:p>
        </w:tc>
        <w:tc>
          <w:tcPr>
            <w:tcW w:w="529" w:type="dxa"/>
            <w:vMerge w:val="continue"/>
            <w:vAlign w:val="center"/>
          </w:tcPr>
          <w:p w14:paraId="23663019">
            <w:pPr>
              <w:widowControl/>
              <w:spacing w:line="360" w:lineRule="auto"/>
              <w:jc w:val="center"/>
              <w:rPr>
                <w:b/>
                <w:bCs/>
                <w:sz w:val="20"/>
                <w:szCs w:val="20"/>
              </w:rPr>
            </w:pPr>
          </w:p>
        </w:tc>
        <w:tc>
          <w:tcPr>
            <w:tcW w:w="736" w:type="dxa"/>
            <w:gridSpan w:val="2"/>
            <w:vAlign w:val="center"/>
          </w:tcPr>
          <w:p w14:paraId="204C0C01">
            <w:pPr>
              <w:widowControl/>
              <w:jc w:val="center"/>
              <w:rPr>
                <w:b/>
                <w:bCs/>
                <w:sz w:val="20"/>
                <w:szCs w:val="20"/>
              </w:rPr>
            </w:pPr>
            <w:r>
              <w:rPr>
                <w:b/>
                <w:bCs/>
                <w:kern w:val="0"/>
                <w:sz w:val="20"/>
                <w:szCs w:val="20"/>
              </w:rPr>
              <w:t>线上</w:t>
            </w:r>
          </w:p>
          <w:p w14:paraId="1B9124F9">
            <w:pPr>
              <w:widowControl/>
              <w:jc w:val="center"/>
              <w:rPr>
                <w:b/>
                <w:bCs/>
                <w:sz w:val="20"/>
                <w:szCs w:val="20"/>
              </w:rPr>
            </w:pPr>
            <w:r>
              <w:rPr>
                <w:b/>
                <w:bCs/>
                <w:kern w:val="0"/>
                <w:sz w:val="20"/>
                <w:szCs w:val="20"/>
              </w:rPr>
              <w:t>学时</w:t>
            </w:r>
          </w:p>
        </w:tc>
        <w:tc>
          <w:tcPr>
            <w:tcW w:w="889" w:type="dxa"/>
            <w:gridSpan w:val="2"/>
            <w:vAlign w:val="center"/>
          </w:tcPr>
          <w:p w14:paraId="18771A2A">
            <w:pPr>
              <w:widowControl/>
              <w:jc w:val="center"/>
              <w:rPr>
                <w:b/>
                <w:bCs/>
                <w:sz w:val="20"/>
                <w:szCs w:val="20"/>
              </w:rPr>
            </w:pPr>
            <w:r>
              <w:rPr>
                <w:b/>
                <w:bCs/>
                <w:kern w:val="0"/>
                <w:sz w:val="20"/>
                <w:szCs w:val="20"/>
              </w:rPr>
              <w:t>线下</w:t>
            </w:r>
          </w:p>
          <w:p w14:paraId="16B8B958">
            <w:pPr>
              <w:widowControl/>
              <w:jc w:val="center"/>
              <w:rPr>
                <w:b/>
                <w:bCs/>
                <w:sz w:val="20"/>
                <w:szCs w:val="20"/>
              </w:rPr>
            </w:pPr>
            <w:r>
              <w:rPr>
                <w:b/>
                <w:bCs/>
                <w:kern w:val="0"/>
                <w:sz w:val="20"/>
                <w:szCs w:val="20"/>
              </w:rPr>
              <w:t>学时</w:t>
            </w:r>
          </w:p>
        </w:tc>
        <w:tc>
          <w:tcPr>
            <w:tcW w:w="393" w:type="dxa"/>
            <w:vMerge w:val="continue"/>
            <w:vAlign w:val="center"/>
          </w:tcPr>
          <w:p w14:paraId="75400DBD">
            <w:pPr>
              <w:widowControl/>
              <w:spacing w:line="360" w:lineRule="auto"/>
              <w:jc w:val="center"/>
              <w:rPr>
                <w:b/>
                <w:bCs/>
                <w:sz w:val="20"/>
                <w:szCs w:val="20"/>
              </w:rPr>
            </w:pPr>
          </w:p>
        </w:tc>
        <w:tc>
          <w:tcPr>
            <w:tcW w:w="633" w:type="dxa"/>
            <w:vMerge w:val="continue"/>
            <w:vAlign w:val="center"/>
          </w:tcPr>
          <w:p w14:paraId="5EF50C81">
            <w:pPr>
              <w:widowControl/>
              <w:spacing w:line="360" w:lineRule="auto"/>
              <w:jc w:val="center"/>
              <w:rPr>
                <w:b/>
                <w:bCs/>
                <w:sz w:val="20"/>
                <w:szCs w:val="20"/>
              </w:rPr>
            </w:pPr>
          </w:p>
        </w:tc>
        <w:tc>
          <w:tcPr>
            <w:tcW w:w="588" w:type="dxa"/>
            <w:vMerge w:val="continue"/>
            <w:vAlign w:val="center"/>
          </w:tcPr>
          <w:p w14:paraId="744B0997">
            <w:pPr>
              <w:widowControl/>
              <w:spacing w:line="360" w:lineRule="auto"/>
              <w:jc w:val="center"/>
              <w:rPr>
                <w:b/>
                <w:bCs/>
                <w:sz w:val="20"/>
                <w:szCs w:val="20"/>
              </w:rPr>
            </w:pPr>
          </w:p>
        </w:tc>
        <w:tc>
          <w:tcPr>
            <w:tcW w:w="1142" w:type="dxa"/>
            <w:vMerge w:val="continue"/>
            <w:vAlign w:val="center"/>
          </w:tcPr>
          <w:p w14:paraId="134988F8">
            <w:pPr>
              <w:widowControl/>
              <w:spacing w:line="360" w:lineRule="auto"/>
              <w:jc w:val="center"/>
              <w:rPr>
                <w:b/>
                <w:bCs/>
                <w:sz w:val="20"/>
                <w:szCs w:val="20"/>
              </w:rPr>
            </w:pPr>
          </w:p>
        </w:tc>
        <w:tc>
          <w:tcPr>
            <w:tcW w:w="1628" w:type="dxa"/>
            <w:vMerge w:val="continue"/>
            <w:vAlign w:val="center"/>
          </w:tcPr>
          <w:p w14:paraId="7C673C88">
            <w:pPr>
              <w:widowControl/>
              <w:spacing w:line="360" w:lineRule="auto"/>
              <w:jc w:val="center"/>
              <w:rPr>
                <w:b/>
                <w:bCs/>
                <w:sz w:val="20"/>
                <w:szCs w:val="20"/>
              </w:rPr>
            </w:pPr>
          </w:p>
        </w:tc>
      </w:tr>
      <w:tr w14:paraId="2787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760" w:type="dxa"/>
            <w:vMerge w:val="continue"/>
            <w:vAlign w:val="center"/>
          </w:tcPr>
          <w:p w14:paraId="26DD08D6">
            <w:pPr>
              <w:widowControl/>
              <w:spacing w:line="360" w:lineRule="auto"/>
              <w:jc w:val="center"/>
              <w:rPr>
                <w:b/>
                <w:bCs/>
                <w:sz w:val="20"/>
                <w:szCs w:val="20"/>
              </w:rPr>
            </w:pPr>
          </w:p>
        </w:tc>
        <w:tc>
          <w:tcPr>
            <w:tcW w:w="707" w:type="dxa"/>
            <w:vMerge w:val="continue"/>
            <w:vAlign w:val="center"/>
          </w:tcPr>
          <w:p w14:paraId="19CAE20A">
            <w:pPr>
              <w:widowControl/>
              <w:spacing w:line="360" w:lineRule="auto"/>
              <w:jc w:val="center"/>
              <w:rPr>
                <w:b/>
                <w:bCs/>
                <w:sz w:val="20"/>
                <w:szCs w:val="20"/>
              </w:rPr>
            </w:pPr>
          </w:p>
        </w:tc>
        <w:tc>
          <w:tcPr>
            <w:tcW w:w="1359" w:type="dxa"/>
            <w:vMerge w:val="continue"/>
            <w:vAlign w:val="center"/>
          </w:tcPr>
          <w:p w14:paraId="08893011">
            <w:pPr>
              <w:widowControl/>
              <w:spacing w:line="360" w:lineRule="auto"/>
              <w:jc w:val="center"/>
              <w:rPr>
                <w:b/>
                <w:bCs/>
                <w:sz w:val="20"/>
                <w:szCs w:val="20"/>
              </w:rPr>
            </w:pPr>
          </w:p>
        </w:tc>
        <w:tc>
          <w:tcPr>
            <w:tcW w:w="367" w:type="dxa"/>
            <w:vMerge w:val="continue"/>
            <w:vAlign w:val="center"/>
          </w:tcPr>
          <w:p w14:paraId="0653E551">
            <w:pPr>
              <w:widowControl/>
              <w:spacing w:line="360" w:lineRule="auto"/>
              <w:jc w:val="center"/>
              <w:rPr>
                <w:b/>
                <w:bCs/>
                <w:sz w:val="20"/>
                <w:szCs w:val="20"/>
              </w:rPr>
            </w:pPr>
          </w:p>
        </w:tc>
        <w:tc>
          <w:tcPr>
            <w:tcW w:w="413" w:type="dxa"/>
            <w:vMerge w:val="continue"/>
            <w:vAlign w:val="center"/>
          </w:tcPr>
          <w:p w14:paraId="37BCF105">
            <w:pPr>
              <w:widowControl/>
              <w:spacing w:line="360" w:lineRule="auto"/>
              <w:jc w:val="center"/>
              <w:rPr>
                <w:b/>
                <w:bCs/>
                <w:sz w:val="20"/>
                <w:szCs w:val="20"/>
              </w:rPr>
            </w:pPr>
          </w:p>
        </w:tc>
        <w:tc>
          <w:tcPr>
            <w:tcW w:w="529" w:type="dxa"/>
            <w:vMerge w:val="continue"/>
            <w:vAlign w:val="center"/>
          </w:tcPr>
          <w:p w14:paraId="03A45BB7">
            <w:pPr>
              <w:widowControl/>
              <w:spacing w:line="360" w:lineRule="auto"/>
              <w:jc w:val="center"/>
              <w:rPr>
                <w:b/>
                <w:bCs/>
                <w:sz w:val="20"/>
                <w:szCs w:val="20"/>
              </w:rPr>
            </w:pPr>
          </w:p>
        </w:tc>
        <w:tc>
          <w:tcPr>
            <w:tcW w:w="368" w:type="dxa"/>
            <w:vAlign w:val="center"/>
          </w:tcPr>
          <w:p w14:paraId="65E72198">
            <w:pPr>
              <w:widowControl/>
              <w:jc w:val="center"/>
              <w:rPr>
                <w:b/>
                <w:bCs/>
                <w:sz w:val="20"/>
                <w:szCs w:val="20"/>
              </w:rPr>
            </w:pPr>
            <w:r>
              <w:rPr>
                <w:b/>
                <w:bCs/>
                <w:kern w:val="0"/>
                <w:sz w:val="20"/>
                <w:szCs w:val="20"/>
              </w:rPr>
              <w:t>理论学时</w:t>
            </w:r>
          </w:p>
        </w:tc>
        <w:tc>
          <w:tcPr>
            <w:tcW w:w="368" w:type="dxa"/>
            <w:vAlign w:val="center"/>
          </w:tcPr>
          <w:p w14:paraId="0745C57A">
            <w:pPr>
              <w:widowControl/>
              <w:jc w:val="center"/>
              <w:rPr>
                <w:b/>
                <w:bCs/>
                <w:sz w:val="20"/>
                <w:szCs w:val="20"/>
              </w:rPr>
            </w:pPr>
            <w:r>
              <w:rPr>
                <w:b/>
                <w:bCs/>
                <w:kern w:val="0"/>
                <w:sz w:val="20"/>
                <w:szCs w:val="20"/>
              </w:rPr>
              <w:t>实践学时</w:t>
            </w:r>
          </w:p>
        </w:tc>
        <w:tc>
          <w:tcPr>
            <w:tcW w:w="420" w:type="dxa"/>
            <w:vAlign w:val="center"/>
          </w:tcPr>
          <w:p w14:paraId="2F230793">
            <w:pPr>
              <w:widowControl/>
              <w:jc w:val="center"/>
              <w:rPr>
                <w:b/>
                <w:bCs/>
                <w:sz w:val="20"/>
                <w:szCs w:val="20"/>
              </w:rPr>
            </w:pPr>
            <w:r>
              <w:rPr>
                <w:b/>
                <w:bCs/>
                <w:kern w:val="0"/>
                <w:sz w:val="20"/>
                <w:szCs w:val="20"/>
              </w:rPr>
              <w:t>理论学时</w:t>
            </w:r>
          </w:p>
        </w:tc>
        <w:tc>
          <w:tcPr>
            <w:tcW w:w="469" w:type="dxa"/>
            <w:vAlign w:val="center"/>
          </w:tcPr>
          <w:p w14:paraId="753A6E02">
            <w:pPr>
              <w:widowControl/>
              <w:jc w:val="center"/>
              <w:rPr>
                <w:b/>
                <w:bCs/>
                <w:sz w:val="20"/>
                <w:szCs w:val="20"/>
              </w:rPr>
            </w:pPr>
            <w:r>
              <w:rPr>
                <w:b/>
                <w:bCs/>
                <w:kern w:val="0"/>
                <w:sz w:val="20"/>
                <w:szCs w:val="20"/>
              </w:rPr>
              <w:t>实践学时</w:t>
            </w:r>
          </w:p>
        </w:tc>
        <w:tc>
          <w:tcPr>
            <w:tcW w:w="393" w:type="dxa"/>
            <w:vMerge w:val="continue"/>
            <w:vAlign w:val="center"/>
          </w:tcPr>
          <w:p w14:paraId="647E1475">
            <w:pPr>
              <w:widowControl/>
              <w:spacing w:line="360" w:lineRule="auto"/>
              <w:jc w:val="center"/>
              <w:rPr>
                <w:b/>
                <w:bCs/>
                <w:sz w:val="20"/>
                <w:szCs w:val="20"/>
              </w:rPr>
            </w:pPr>
          </w:p>
        </w:tc>
        <w:tc>
          <w:tcPr>
            <w:tcW w:w="633" w:type="dxa"/>
            <w:vMerge w:val="continue"/>
            <w:vAlign w:val="center"/>
          </w:tcPr>
          <w:p w14:paraId="69985966">
            <w:pPr>
              <w:widowControl/>
              <w:spacing w:line="360" w:lineRule="auto"/>
              <w:jc w:val="center"/>
              <w:rPr>
                <w:b/>
                <w:bCs/>
                <w:sz w:val="20"/>
                <w:szCs w:val="20"/>
              </w:rPr>
            </w:pPr>
          </w:p>
        </w:tc>
        <w:tc>
          <w:tcPr>
            <w:tcW w:w="588" w:type="dxa"/>
            <w:vMerge w:val="continue"/>
            <w:vAlign w:val="center"/>
          </w:tcPr>
          <w:p w14:paraId="0A8BFF73">
            <w:pPr>
              <w:widowControl/>
              <w:spacing w:line="360" w:lineRule="auto"/>
              <w:jc w:val="center"/>
              <w:rPr>
                <w:b/>
                <w:bCs/>
                <w:sz w:val="20"/>
                <w:szCs w:val="20"/>
              </w:rPr>
            </w:pPr>
          </w:p>
        </w:tc>
        <w:tc>
          <w:tcPr>
            <w:tcW w:w="1142" w:type="dxa"/>
            <w:vMerge w:val="continue"/>
            <w:vAlign w:val="center"/>
          </w:tcPr>
          <w:p w14:paraId="7DED4B18">
            <w:pPr>
              <w:widowControl/>
              <w:spacing w:line="360" w:lineRule="auto"/>
              <w:jc w:val="center"/>
              <w:rPr>
                <w:b/>
                <w:bCs/>
                <w:sz w:val="20"/>
                <w:szCs w:val="20"/>
              </w:rPr>
            </w:pPr>
          </w:p>
        </w:tc>
        <w:tc>
          <w:tcPr>
            <w:tcW w:w="1628" w:type="dxa"/>
            <w:vMerge w:val="continue"/>
            <w:vAlign w:val="center"/>
          </w:tcPr>
          <w:p w14:paraId="21A641C9">
            <w:pPr>
              <w:widowControl/>
              <w:spacing w:line="360" w:lineRule="auto"/>
              <w:jc w:val="center"/>
              <w:rPr>
                <w:b/>
                <w:bCs/>
                <w:sz w:val="20"/>
                <w:szCs w:val="20"/>
              </w:rPr>
            </w:pPr>
          </w:p>
        </w:tc>
      </w:tr>
      <w:tr w14:paraId="6A16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14:paraId="3E144CFD">
            <w:pPr>
              <w:spacing w:line="360" w:lineRule="auto"/>
              <w:jc w:val="center"/>
              <w:rPr>
                <w:sz w:val="20"/>
                <w:szCs w:val="20"/>
              </w:rPr>
            </w:pPr>
            <w:r>
              <w:rPr>
                <w:kern w:val="0"/>
                <w:sz w:val="20"/>
                <w:szCs w:val="20"/>
              </w:rPr>
              <w:t>1</w:t>
            </w:r>
          </w:p>
        </w:tc>
        <w:tc>
          <w:tcPr>
            <w:tcW w:w="707" w:type="dxa"/>
            <w:shd w:val="clear" w:color="auto" w:fill="auto"/>
            <w:vAlign w:val="center"/>
          </w:tcPr>
          <w:p w14:paraId="7E8AD7E5">
            <w:pPr>
              <w:jc w:val="center"/>
              <w:rPr>
                <w:rFonts w:hint="default" w:ascii="Arial" w:hAnsi="Arial" w:eastAsia="宋体" w:cs="Arial"/>
                <w:snapToGrid w:val="0"/>
                <w:color w:val="000000"/>
                <w:kern w:val="0"/>
                <w:sz w:val="20"/>
                <w:szCs w:val="20"/>
                <w:lang w:val="en-US" w:eastAsia="zh-CN" w:bidi="ar-SA"/>
              </w:rPr>
            </w:pPr>
            <w:r>
              <w:rPr>
                <w:rFonts w:hint="eastAsia" w:eastAsia="宋体"/>
                <w:sz w:val="20"/>
                <w:szCs w:val="20"/>
                <w:lang w:val="en-US" w:eastAsia="zh-CN"/>
              </w:rPr>
              <w:t>V</w:t>
            </w:r>
            <w:r>
              <w:rPr>
                <w:rFonts w:hint="eastAsia"/>
                <w:sz w:val="20"/>
                <w:szCs w:val="20"/>
              </w:rPr>
              <w:t>06</w:t>
            </w:r>
            <w:r>
              <w:rPr>
                <w:rFonts w:hint="eastAsia" w:eastAsia="宋体"/>
                <w:sz w:val="20"/>
                <w:szCs w:val="20"/>
                <w:lang w:val="en-US" w:eastAsia="zh-CN"/>
              </w:rPr>
              <w:t>0002</w:t>
            </w:r>
          </w:p>
        </w:tc>
        <w:tc>
          <w:tcPr>
            <w:tcW w:w="1359" w:type="dxa"/>
            <w:shd w:val="clear" w:color="auto" w:fill="auto"/>
            <w:vAlign w:val="center"/>
          </w:tcPr>
          <w:p w14:paraId="056729A2">
            <w:pPr>
              <w:jc w:val="center"/>
              <w:rPr>
                <w:rFonts w:ascii="Arial" w:hAnsi="Arial" w:eastAsia="宋体" w:cs="Arial"/>
                <w:snapToGrid w:val="0"/>
                <w:color w:val="000000"/>
                <w:kern w:val="0"/>
                <w:sz w:val="20"/>
                <w:szCs w:val="20"/>
                <w:lang w:val="en-US" w:eastAsia="en-US" w:bidi="ar-SA"/>
              </w:rPr>
            </w:pPr>
            <w:r>
              <w:rPr>
                <w:rFonts w:hint="eastAsia"/>
                <w:sz w:val="20"/>
                <w:szCs w:val="20"/>
              </w:rPr>
              <w:t>算法设计与分析</w:t>
            </w:r>
          </w:p>
        </w:tc>
        <w:tc>
          <w:tcPr>
            <w:tcW w:w="367" w:type="dxa"/>
            <w:shd w:val="clear" w:color="auto" w:fill="auto"/>
            <w:vAlign w:val="center"/>
          </w:tcPr>
          <w:p w14:paraId="45A5216B">
            <w:pPr>
              <w:jc w:val="center"/>
              <w:rPr>
                <w:rFonts w:hint="eastAsia" w:ascii="Arial" w:hAnsi="Arial" w:eastAsia="宋体" w:cs="Arial"/>
                <w:snapToGrid w:val="0"/>
                <w:color w:val="000000"/>
                <w:kern w:val="0"/>
                <w:sz w:val="20"/>
                <w:szCs w:val="20"/>
                <w:lang w:val="en-US" w:eastAsia="en-US" w:bidi="ar-SA"/>
              </w:rPr>
            </w:pPr>
            <w:r>
              <w:rPr>
                <w:rFonts w:hint="eastAsia"/>
                <w:sz w:val="20"/>
                <w:szCs w:val="20"/>
              </w:rPr>
              <w:t>2</w:t>
            </w:r>
          </w:p>
        </w:tc>
        <w:tc>
          <w:tcPr>
            <w:tcW w:w="413" w:type="dxa"/>
            <w:shd w:val="clear" w:color="auto" w:fill="auto"/>
            <w:vAlign w:val="center"/>
          </w:tcPr>
          <w:p w14:paraId="02ED5B0F">
            <w:pPr>
              <w:jc w:val="center"/>
              <w:rPr>
                <w:rFonts w:hint="eastAsia" w:ascii="Arial" w:hAnsi="Arial" w:eastAsia="宋体" w:cs="Arial"/>
                <w:snapToGrid w:val="0"/>
                <w:color w:val="000000"/>
                <w:kern w:val="0"/>
                <w:sz w:val="20"/>
                <w:szCs w:val="20"/>
                <w:lang w:val="en-US" w:eastAsia="en-US" w:bidi="ar-SA"/>
              </w:rPr>
            </w:pPr>
            <w:r>
              <w:rPr>
                <w:rFonts w:hint="eastAsia"/>
                <w:sz w:val="20"/>
                <w:szCs w:val="20"/>
              </w:rPr>
              <w:t>3</w:t>
            </w:r>
          </w:p>
        </w:tc>
        <w:tc>
          <w:tcPr>
            <w:tcW w:w="529" w:type="dxa"/>
            <w:shd w:val="clear" w:color="auto" w:fill="auto"/>
            <w:vAlign w:val="center"/>
          </w:tcPr>
          <w:p w14:paraId="6F2A0E49">
            <w:pPr>
              <w:jc w:val="center"/>
              <w:rPr>
                <w:rFonts w:ascii="Arial" w:hAnsi="Arial" w:eastAsia="宋体" w:cs="Arial"/>
                <w:snapToGrid w:val="0"/>
                <w:color w:val="000000"/>
                <w:kern w:val="0"/>
                <w:sz w:val="20"/>
                <w:szCs w:val="20"/>
                <w:lang w:val="en-US" w:eastAsia="en-US" w:bidi="ar-SA"/>
              </w:rPr>
            </w:pPr>
            <w:r>
              <w:rPr>
                <w:rFonts w:hint="eastAsia"/>
                <w:sz w:val="20"/>
                <w:szCs w:val="20"/>
              </w:rPr>
              <w:t>32</w:t>
            </w:r>
          </w:p>
        </w:tc>
        <w:tc>
          <w:tcPr>
            <w:tcW w:w="368" w:type="dxa"/>
            <w:shd w:val="clear" w:color="auto" w:fill="auto"/>
            <w:vAlign w:val="center"/>
          </w:tcPr>
          <w:p w14:paraId="10F01BB0">
            <w:pPr>
              <w:jc w:val="center"/>
              <w:rPr>
                <w:rFonts w:ascii="Arial" w:hAnsi="Arial" w:eastAsia="宋体" w:cs="Arial"/>
                <w:snapToGrid w:val="0"/>
                <w:color w:val="000000"/>
                <w:kern w:val="0"/>
                <w:sz w:val="20"/>
                <w:szCs w:val="20"/>
                <w:lang w:val="en-US" w:eastAsia="en-US" w:bidi="ar-SA"/>
              </w:rPr>
            </w:pPr>
            <w:r>
              <w:rPr>
                <w:rFonts w:hint="eastAsia"/>
                <w:sz w:val="20"/>
                <w:szCs w:val="20"/>
              </w:rPr>
              <w:t>12</w:t>
            </w:r>
          </w:p>
        </w:tc>
        <w:tc>
          <w:tcPr>
            <w:tcW w:w="368" w:type="dxa"/>
            <w:shd w:val="clear" w:color="auto" w:fill="auto"/>
            <w:vAlign w:val="center"/>
          </w:tcPr>
          <w:p w14:paraId="77297A9E">
            <w:pPr>
              <w:jc w:val="center"/>
              <w:rPr>
                <w:rFonts w:hint="eastAsia" w:ascii="Arial" w:hAnsi="Arial" w:eastAsia="宋体" w:cs="Arial"/>
                <w:snapToGrid w:val="0"/>
                <w:color w:val="000000"/>
                <w:kern w:val="0"/>
                <w:sz w:val="20"/>
                <w:szCs w:val="20"/>
                <w:lang w:val="en-US" w:eastAsia="en-US" w:bidi="ar-SA"/>
              </w:rPr>
            </w:pPr>
            <w:r>
              <w:rPr>
                <w:rFonts w:hint="eastAsia"/>
                <w:sz w:val="20"/>
                <w:szCs w:val="20"/>
              </w:rPr>
              <w:t>4</w:t>
            </w:r>
          </w:p>
        </w:tc>
        <w:tc>
          <w:tcPr>
            <w:tcW w:w="420" w:type="dxa"/>
            <w:shd w:val="clear" w:color="auto" w:fill="auto"/>
            <w:vAlign w:val="center"/>
          </w:tcPr>
          <w:p w14:paraId="64201610">
            <w:pPr>
              <w:jc w:val="center"/>
              <w:rPr>
                <w:rFonts w:ascii="Arial" w:hAnsi="Arial" w:eastAsia="宋体" w:cs="Arial"/>
                <w:snapToGrid w:val="0"/>
                <w:color w:val="000000"/>
                <w:kern w:val="0"/>
                <w:sz w:val="20"/>
                <w:szCs w:val="20"/>
                <w:lang w:val="en-US" w:eastAsia="en-US" w:bidi="ar-SA"/>
              </w:rPr>
            </w:pPr>
            <w:r>
              <w:rPr>
                <w:rFonts w:hint="eastAsia" w:eastAsia="宋体"/>
                <w:sz w:val="20"/>
                <w:szCs w:val="20"/>
                <w:lang w:val="en-US" w:eastAsia="zh-CN"/>
              </w:rPr>
              <w:t>0</w:t>
            </w:r>
          </w:p>
        </w:tc>
        <w:tc>
          <w:tcPr>
            <w:tcW w:w="469" w:type="dxa"/>
            <w:shd w:val="clear" w:color="auto" w:fill="auto"/>
            <w:vAlign w:val="center"/>
          </w:tcPr>
          <w:p w14:paraId="0B692582">
            <w:pPr>
              <w:jc w:val="center"/>
              <w:rPr>
                <w:rFonts w:ascii="Arial" w:hAnsi="Arial" w:eastAsia="宋体" w:cs="Arial"/>
                <w:snapToGrid w:val="0"/>
                <w:color w:val="000000"/>
                <w:kern w:val="0"/>
                <w:sz w:val="20"/>
                <w:szCs w:val="20"/>
                <w:lang w:val="en-US" w:eastAsia="en-US" w:bidi="ar-SA"/>
              </w:rPr>
            </w:pPr>
            <w:r>
              <w:rPr>
                <w:rFonts w:hint="eastAsia" w:eastAsia="宋体"/>
                <w:sz w:val="20"/>
                <w:szCs w:val="20"/>
                <w:lang w:val="en-US" w:eastAsia="zh-CN"/>
              </w:rPr>
              <w:t>16</w:t>
            </w:r>
          </w:p>
        </w:tc>
        <w:tc>
          <w:tcPr>
            <w:tcW w:w="393" w:type="dxa"/>
            <w:shd w:val="clear" w:color="auto" w:fill="auto"/>
            <w:vAlign w:val="center"/>
          </w:tcPr>
          <w:p w14:paraId="12615ECF">
            <w:pPr>
              <w:jc w:val="center"/>
              <w:rPr>
                <w:rFonts w:hint="eastAsia" w:ascii="Arial" w:hAnsi="Arial" w:eastAsia="宋体" w:cs="Arial"/>
                <w:snapToGrid w:val="0"/>
                <w:color w:val="000000"/>
                <w:kern w:val="0"/>
                <w:sz w:val="20"/>
                <w:szCs w:val="20"/>
                <w:lang w:val="en-US" w:eastAsia="en-US" w:bidi="ar-SA"/>
              </w:rPr>
            </w:pPr>
            <w:r>
              <w:rPr>
                <w:rFonts w:hint="eastAsia" w:eastAsia="宋体"/>
                <w:sz w:val="20"/>
                <w:szCs w:val="20"/>
                <w:lang w:val="en-US" w:eastAsia="zh-CN"/>
              </w:rPr>
              <w:t>1</w:t>
            </w:r>
          </w:p>
        </w:tc>
        <w:tc>
          <w:tcPr>
            <w:tcW w:w="633" w:type="dxa"/>
            <w:shd w:val="clear" w:color="auto" w:fill="auto"/>
            <w:vAlign w:val="center"/>
          </w:tcPr>
          <w:p w14:paraId="0F73D216">
            <w:pPr>
              <w:jc w:val="center"/>
              <w:rPr>
                <w:rFonts w:ascii="Arial" w:hAnsi="Arial" w:eastAsia="宋体" w:cs="Arial"/>
                <w:snapToGrid w:val="0"/>
                <w:color w:val="000000"/>
                <w:kern w:val="0"/>
                <w:sz w:val="20"/>
                <w:szCs w:val="20"/>
                <w:lang w:val="en-US" w:eastAsia="en-US" w:bidi="ar-SA"/>
              </w:rPr>
            </w:pPr>
            <w:r>
              <w:rPr>
                <w:rFonts w:hint="eastAsia" w:cs="Times New Roman"/>
                <w:sz w:val="20"/>
                <w:szCs w:val="20"/>
              </w:rPr>
              <w:t>齐平、郜文灿</w:t>
            </w:r>
          </w:p>
        </w:tc>
        <w:tc>
          <w:tcPr>
            <w:tcW w:w="588" w:type="dxa"/>
            <w:shd w:val="clear" w:color="auto" w:fill="auto"/>
            <w:vAlign w:val="center"/>
          </w:tcPr>
          <w:p w14:paraId="7F761E1A">
            <w:pPr>
              <w:jc w:val="center"/>
              <w:rPr>
                <w:rFonts w:hint="eastAsia" w:ascii="Arial" w:hAnsi="Arial" w:eastAsia="宋体" w:cs="Arial"/>
                <w:snapToGrid w:val="0"/>
                <w:color w:val="000000"/>
                <w:kern w:val="0"/>
                <w:sz w:val="20"/>
                <w:szCs w:val="20"/>
                <w:lang w:val="en-US" w:eastAsia="zh-CN" w:bidi="ar-SA"/>
              </w:rPr>
            </w:pPr>
            <w:r>
              <w:rPr>
                <w:rFonts w:hint="eastAsia" w:eastAsia="宋体"/>
                <w:sz w:val="20"/>
                <w:szCs w:val="20"/>
                <w:lang w:val="en-US" w:eastAsia="zh-CN"/>
              </w:rPr>
              <w:t>考试</w:t>
            </w:r>
          </w:p>
        </w:tc>
        <w:tc>
          <w:tcPr>
            <w:tcW w:w="1142" w:type="dxa"/>
            <w:shd w:val="clear" w:color="auto" w:fill="auto"/>
            <w:vAlign w:val="center"/>
          </w:tcPr>
          <w:p w14:paraId="77DEBD46">
            <w:pPr>
              <w:jc w:val="center"/>
              <w:rPr>
                <w:rFonts w:hint="eastAsia" w:ascii="Arial" w:hAnsi="Arial" w:eastAsia="方正仿宋_GBK" w:cs="Arial"/>
                <w:snapToGrid w:val="0"/>
                <w:color w:val="000000"/>
                <w:kern w:val="0"/>
                <w:sz w:val="20"/>
                <w:szCs w:val="20"/>
                <w:lang w:val="en-US" w:eastAsia="en-US" w:bidi="ar-SA"/>
              </w:rPr>
            </w:pPr>
            <w:r>
              <w:rPr>
                <w:rFonts w:hint="eastAsia"/>
                <w:sz w:val="20"/>
                <w:szCs w:val="20"/>
              </w:rPr>
              <w:t>铜陵学院</w:t>
            </w:r>
          </w:p>
        </w:tc>
        <w:tc>
          <w:tcPr>
            <w:tcW w:w="1628" w:type="dxa"/>
            <w:shd w:val="clear" w:color="auto" w:fill="auto"/>
            <w:vAlign w:val="center"/>
          </w:tcPr>
          <w:p w14:paraId="7A45E394">
            <w:pPr>
              <w:widowControl/>
              <w:jc w:val="center"/>
              <w:rPr>
                <w:rFonts w:hint="default" w:ascii="Arial" w:hAnsi="Arial" w:eastAsia="宋体" w:cs="Arial"/>
                <w:snapToGrid w:val="0"/>
                <w:color w:val="000000"/>
                <w:kern w:val="0"/>
                <w:sz w:val="20"/>
                <w:szCs w:val="20"/>
                <w:lang w:val="en-US" w:eastAsia="zh-CN" w:bidi="ar-SA"/>
              </w:rPr>
            </w:pPr>
            <w:r>
              <w:rPr>
                <w:rFonts w:hint="eastAsia" w:eastAsia="宋体"/>
                <w:sz w:val="20"/>
                <w:szCs w:val="20"/>
                <w:lang w:val="en-US" w:eastAsia="zh-CN"/>
              </w:rPr>
              <w:t>C/Python</w:t>
            </w:r>
          </w:p>
        </w:tc>
      </w:tr>
      <w:tr w14:paraId="679C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14:paraId="1298C1AC">
            <w:pPr>
              <w:spacing w:line="360" w:lineRule="auto"/>
              <w:jc w:val="center"/>
              <w:rPr>
                <w:rFonts w:hint="eastAsia" w:eastAsia="方正仿宋_GBK"/>
                <w:sz w:val="20"/>
                <w:szCs w:val="20"/>
              </w:rPr>
            </w:pPr>
            <w:r>
              <w:rPr>
                <w:rFonts w:hint="eastAsia"/>
                <w:kern w:val="0"/>
                <w:sz w:val="20"/>
                <w:szCs w:val="20"/>
              </w:rPr>
              <w:t>2</w:t>
            </w:r>
          </w:p>
        </w:tc>
        <w:tc>
          <w:tcPr>
            <w:tcW w:w="707" w:type="dxa"/>
            <w:shd w:val="clear" w:color="auto" w:fill="auto"/>
            <w:vAlign w:val="center"/>
          </w:tcPr>
          <w:p w14:paraId="4F20379F">
            <w:pPr>
              <w:spacing w:line="360" w:lineRule="auto"/>
              <w:jc w:val="center"/>
              <w:rPr>
                <w:rFonts w:hint="default" w:ascii="Arial" w:hAnsi="Arial" w:eastAsia="宋体" w:cs="Arial"/>
                <w:snapToGrid w:val="0"/>
                <w:color w:val="000000"/>
                <w:kern w:val="0"/>
                <w:sz w:val="20"/>
                <w:szCs w:val="20"/>
                <w:lang w:val="en-US" w:eastAsia="zh-CN" w:bidi="ar-SA"/>
              </w:rPr>
            </w:pPr>
            <w:r>
              <w:rPr>
                <w:rFonts w:hint="eastAsia" w:eastAsia="宋体"/>
                <w:sz w:val="20"/>
                <w:szCs w:val="20"/>
                <w:lang w:val="en-US" w:eastAsia="zh-CN"/>
              </w:rPr>
              <w:t>V</w:t>
            </w:r>
            <w:r>
              <w:rPr>
                <w:rFonts w:hint="eastAsia"/>
                <w:sz w:val="20"/>
                <w:szCs w:val="20"/>
              </w:rPr>
              <w:t>06</w:t>
            </w:r>
            <w:r>
              <w:rPr>
                <w:rFonts w:hint="eastAsia" w:eastAsia="宋体"/>
                <w:sz w:val="20"/>
                <w:szCs w:val="20"/>
                <w:lang w:val="en-US" w:eastAsia="zh-CN"/>
              </w:rPr>
              <w:t>0001</w:t>
            </w:r>
          </w:p>
        </w:tc>
        <w:tc>
          <w:tcPr>
            <w:tcW w:w="1359" w:type="dxa"/>
            <w:shd w:val="clear" w:color="auto" w:fill="auto"/>
            <w:vAlign w:val="center"/>
          </w:tcPr>
          <w:p w14:paraId="734DFEDD">
            <w:pPr>
              <w:spacing w:line="360" w:lineRule="auto"/>
              <w:jc w:val="center"/>
              <w:rPr>
                <w:rFonts w:ascii="Arial" w:hAnsi="Arial" w:eastAsia="宋体" w:cs="Arial"/>
                <w:snapToGrid w:val="0"/>
                <w:color w:val="000000"/>
                <w:kern w:val="0"/>
                <w:sz w:val="20"/>
                <w:szCs w:val="20"/>
                <w:lang w:val="en-US" w:eastAsia="en-US" w:bidi="ar-SA"/>
              </w:rPr>
            </w:pPr>
            <w:r>
              <w:rPr>
                <w:rFonts w:hint="eastAsia"/>
                <w:sz w:val="20"/>
                <w:szCs w:val="20"/>
              </w:rPr>
              <w:t>全栈开发技术</w:t>
            </w:r>
          </w:p>
        </w:tc>
        <w:tc>
          <w:tcPr>
            <w:tcW w:w="367" w:type="dxa"/>
            <w:shd w:val="clear" w:color="auto" w:fill="auto"/>
            <w:vAlign w:val="center"/>
          </w:tcPr>
          <w:p w14:paraId="66662128">
            <w:pPr>
              <w:spacing w:line="360" w:lineRule="auto"/>
              <w:jc w:val="center"/>
              <w:rPr>
                <w:rFonts w:hint="eastAsia" w:ascii="Arial" w:hAnsi="Arial" w:eastAsia="宋体" w:cs="Arial"/>
                <w:snapToGrid w:val="0"/>
                <w:color w:val="000000"/>
                <w:kern w:val="0"/>
                <w:sz w:val="20"/>
                <w:szCs w:val="20"/>
                <w:lang w:val="en-US" w:eastAsia="en-US" w:bidi="ar-SA"/>
              </w:rPr>
            </w:pPr>
            <w:r>
              <w:rPr>
                <w:rFonts w:hint="eastAsia"/>
                <w:sz w:val="20"/>
                <w:szCs w:val="20"/>
              </w:rPr>
              <w:t>3</w:t>
            </w:r>
          </w:p>
        </w:tc>
        <w:tc>
          <w:tcPr>
            <w:tcW w:w="413" w:type="dxa"/>
            <w:shd w:val="clear" w:color="auto" w:fill="auto"/>
            <w:vAlign w:val="center"/>
          </w:tcPr>
          <w:p w14:paraId="78565D46">
            <w:pPr>
              <w:spacing w:line="360" w:lineRule="auto"/>
              <w:jc w:val="center"/>
              <w:rPr>
                <w:rFonts w:hint="eastAsia" w:ascii="Arial" w:hAnsi="Arial" w:eastAsia="宋体" w:cs="Arial"/>
                <w:snapToGrid w:val="0"/>
                <w:color w:val="000000"/>
                <w:kern w:val="0"/>
                <w:sz w:val="20"/>
                <w:szCs w:val="20"/>
                <w:lang w:val="en-US" w:eastAsia="en-US" w:bidi="ar-SA"/>
              </w:rPr>
            </w:pPr>
            <w:r>
              <w:rPr>
                <w:rFonts w:hint="eastAsia"/>
                <w:sz w:val="20"/>
                <w:szCs w:val="20"/>
              </w:rPr>
              <w:t>4</w:t>
            </w:r>
          </w:p>
        </w:tc>
        <w:tc>
          <w:tcPr>
            <w:tcW w:w="529" w:type="dxa"/>
            <w:shd w:val="clear" w:color="auto" w:fill="auto"/>
            <w:vAlign w:val="center"/>
          </w:tcPr>
          <w:p w14:paraId="7E8436D1">
            <w:pPr>
              <w:spacing w:line="360" w:lineRule="auto"/>
              <w:jc w:val="center"/>
              <w:rPr>
                <w:rFonts w:ascii="Arial" w:hAnsi="Arial" w:eastAsia="宋体" w:cs="Arial"/>
                <w:snapToGrid w:val="0"/>
                <w:color w:val="000000"/>
                <w:kern w:val="0"/>
                <w:sz w:val="20"/>
                <w:szCs w:val="20"/>
                <w:lang w:val="en-US" w:eastAsia="en-US" w:bidi="ar-SA"/>
              </w:rPr>
            </w:pPr>
            <w:r>
              <w:rPr>
                <w:rFonts w:hint="eastAsia"/>
                <w:sz w:val="20"/>
                <w:szCs w:val="20"/>
              </w:rPr>
              <w:t>48</w:t>
            </w:r>
          </w:p>
        </w:tc>
        <w:tc>
          <w:tcPr>
            <w:tcW w:w="368" w:type="dxa"/>
            <w:shd w:val="clear" w:color="auto" w:fill="auto"/>
            <w:vAlign w:val="center"/>
          </w:tcPr>
          <w:p w14:paraId="200A718F">
            <w:pPr>
              <w:spacing w:line="360" w:lineRule="auto"/>
              <w:jc w:val="center"/>
              <w:rPr>
                <w:rFonts w:ascii="Arial" w:hAnsi="Arial" w:eastAsia="宋体" w:cs="Arial"/>
                <w:snapToGrid w:val="0"/>
                <w:color w:val="000000"/>
                <w:kern w:val="0"/>
                <w:sz w:val="20"/>
                <w:szCs w:val="20"/>
                <w:lang w:val="en-US" w:eastAsia="en-US" w:bidi="ar-SA"/>
              </w:rPr>
            </w:pPr>
            <w:r>
              <w:rPr>
                <w:rFonts w:hint="eastAsia"/>
                <w:sz w:val="20"/>
                <w:szCs w:val="20"/>
              </w:rPr>
              <w:t>1</w:t>
            </w:r>
            <w:r>
              <w:rPr>
                <w:rFonts w:hint="eastAsia"/>
                <w:sz w:val="20"/>
                <w:szCs w:val="20"/>
                <w:lang w:val="en-US" w:eastAsia="zh-CN"/>
              </w:rPr>
              <w:t>2</w:t>
            </w:r>
          </w:p>
        </w:tc>
        <w:tc>
          <w:tcPr>
            <w:tcW w:w="368" w:type="dxa"/>
            <w:shd w:val="clear" w:color="auto" w:fill="auto"/>
            <w:vAlign w:val="center"/>
          </w:tcPr>
          <w:p w14:paraId="34E010CC">
            <w:pPr>
              <w:spacing w:line="360" w:lineRule="auto"/>
              <w:jc w:val="center"/>
              <w:rPr>
                <w:rFonts w:hint="eastAsia" w:ascii="Arial" w:hAnsi="Arial" w:eastAsia="宋体" w:cs="Arial"/>
                <w:snapToGrid w:val="0"/>
                <w:color w:val="000000"/>
                <w:kern w:val="0"/>
                <w:sz w:val="20"/>
                <w:szCs w:val="20"/>
                <w:lang w:val="en-US" w:eastAsia="en-US" w:bidi="ar-SA"/>
              </w:rPr>
            </w:pPr>
            <w:r>
              <w:rPr>
                <w:rFonts w:hint="eastAsia" w:eastAsia="宋体"/>
                <w:sz w:val="20"/>
                <w:szCs w:val="20"/>
                <w:lang w:val="en-US" w:eastAsia="zh-CN"/>
              </w:rPr>
              <w:t>8</w:t>
            </w:r>
          </w:p>
        </w:tc>
        <w:tc>
          <w:tcPr>
            <w:tcW w:w="420" w:type="dxa"/>
            <w:shd w:val="clear" w:color="auto" w:fill="auto"/>
            <w:vAlign w:val="center"/>
          </w:tcPr>
          <w:p w14:paraId="14DFBFE4">
            <w:pPr>
              <w:spacing w:line="360" w:lineRule="auto"/>
              <w:jc w:val="center"/>
              <w:rPr>
                <w:rFonts w:hint="eastAsia" w:ascii="Arial" w:hAnsi="Arial" w:eastAsia="宋体" w:cs="Arial"/>
                <w:snapToGrid w:val="0"/>
                <w:color w:val="000000"/>
                <w:kern w:val="0"/>
                <w:sz w:val="20"/>
                <w:szCs w:val="20"/>
                <w:lang w:val="en-US" w:eastAsia="en-US" w:bidi="ar-SA"/>
              </w:rPr>
            </w:pPr>
            <w:r>
              <w:rPr>
                <w:rFonts w:hint="eastAsia" w:eastAsia="宋体"/>
                <w:sz w:val="20"/>
                <w:szCs w:val="20"/>
                <w:lang w:val="en-US" w:eastAsia="zh-CN"/>
              </w:rPr>
              <w:t>4</w:t>
            </w:r>
          </w:p>
        </w:tc>
        <w:tc>
          <w:tcPr>
            <w:tcW w:w="469" w:type="dxa"/>
            <w:shd w:val="clear" w:color="auto" w:fill="auto"/>
            <w:vAlign w:val="center"/>
          </w:tcPr>
          <w:p w14:paraId="2673C7C3">
            <w:pPr>
              <w:spacing w:line="360" w:lineRule="auto"/>
              <w:jc w:val="center"/>
              <w:rPr>
                <w:rFonts w:hint="eastAsia" w:ascii="Arial" w:hAnsi="Arial" w:eastAsia="宋体" w:cs="Arial"/>
                <w:snapToGrid w:val="0"/>
                <w:color w:val="000000"/>
                <w:kern w:val="0"/>
                <w:sz w:val="20"/>
                <w:szCs w:val="20"/>
                <w:lang w:val="en-US" w:eastAsia="en-US" w:bidi="ar-SA"/>
              </w:rPr>
            </w:pPr>
            <w:r>
              <w:rPr>
                <w:rFonts w:hint="eastAsia"/>
                <w:sz w:val="20"/>
                <w:szCs w:val="20"/>
              </w:rPr>
              <w:t>24</w:t>
            </w:r>
          </w:p>
        </w:tc>
        <w:tc>
          <w:tcPr>
            <w:tcW w:w="393" w:type="dxa"/>
            <w:shd w:val="clear" w:color="auto" w:fill="auto"/>
            <w:vAlign w:val="center"/>
          </w:tcPr>
          <w:p w14:paraId="2986D539">
            <w:pPr>
              <w:spacing w:line="360" w:lineRule="auto"/>
              <w:jc w:val="center"/>
              <w:rPr>
                <w:rFonts w:hint="eastAsia" w:ascii="Arial" w:hAnsi="Arial" w:eastAsia="宋体" w:cs="Arial"/>
                <w:snapToGrid w:val="0"/>
                <w:color w:val="000000"/>
                <w:kern w:val="0"/>
                <w:sz w:val="20"/>
                <w:szCs w:val="20"/>
                <w:lang w:val="en-US" w:eastAsia="en-US" w:bidi="ar-SA"/>
              </w:rPr>
            </w:pPr>
            <w:r>
              <w:rPr>
                <w:rFonts w:hint="eastAsia" w:eastAsia="宋体"/>
                <w:sz w:val="20"/>
                <w:szCs w:val="20"/>
                <w:lang w:val="en-US" w:eastAsia="zh-CN"/>
              </w:rPr>
              <w:t>2</w:t>
            </w:r>
          </w:p>
        </w:tc>
        <w:tc>
          <w:tcPr>
            <w:tcW w:w="633" w:type="dxa"/>
            <w:shd w:val="clear" w:color="auto" w:fill="auto"/>
            <w:vAlign w:val="center"/>
          </w:tcPr>
          <w:p w14:paraId="3E96EE15">
            <w:pPr>
              <w:jc w:val="center"/>
              <w:rPr>
                <w:rFonts w:ascii="Arial" w:hAnsi="Arial" w:eastAsia="宋体" w:cs="Arial"/>
                <w:snapToGrid w:val="0"/>
                <w:color w:val="000000"/>
                <w:kern w:val="0"/>
                <w:sz w:val="20"/>
                <w:szCs w:val="20"/>
                <w:lang w:val="en-US" w:eastAsia="en-US" w:bidi="ar-SA"/>
              </w:rPr>
            </w:pPr>
            <w:r>
              <w:rPr>
                <w:rFonts w:hint="eastAsia"/>
                <w:sz w:val="20"/>
                <w:szCs w:val="20"/>
              </w:rPr>
              <w:t>王福成、丁邦旭</w:t>
            </w:r>
          </w:p>
        </w:tc>
        <w:tc>
          <w:tcPr>
            <w:tcW w:w="588" w:type="dxa"/>
            <w:shd w:val="clear" w:color="auto" w:fill="auto"/>
            <w:vAlign w:val="center"/>
          </w:tcPr>
          <w:p w14:paraId="565AB800">
            <w:pPr>
              <w:jc w:val="center"/>
              <w:rPr>
                <w:rFonts w:hint="eastAsia" w:ascii="Arial" w:hAnsi="Arial" w:eastAsia="宋体" w:cs="Arial"/>
                <w:snapToGrid w:val="0"/>
                <w:color w:val="000000"/>
                <w:kern w:val="0"/>
                <w:sz w:val="20"/>
                <w:szCs w:val="20"/>
                <w:lang w:val="en-US" w:eastAsia="en-US" w:bidi="ar-SA"/>
              </w:rPr>
            </w:pPr>
            <w:r>
              <w:rPr>
                <w:rFonts w:hint="eastAsia"/>
                <w:sz w:val="20"/>
                <w:szCs w:val="20"/>
              </w:rPr>
              <w:t>考查</w:t>
            </w:r>
          </w:p>
        </w:tc>
        <w:tc>
          <w:tcPr>
            <w:tcW w:w="1142" w:type="dxa"/>
            <w:shd w:val="clear" w:color="auto" w:fill="auto"/>
            <w:vAlign w:val="center"/>
          </w:tcPr>
          <w:p w14:paraId="727248CA">
            <w:pPr>
              <w:jc w:val="center"/>
              <w:rPr>
                <w:rFonts w:hint="eastAsia" w:ascii="Arial" w:hAnsi="Arial" w:eastAsia="宋体" w:cs="Arial"/>
                <w:snapToGrid w:val="0"/>
                <w:color w:val="000000"/>
                <w:kern w:val="0"/>
                <w:sz w:val="20"/>
                <w:szCs w:val="20"/>
                <w:lang w:val="en-US" w:eastAsia="en-US" w:bidi="ar-SA"/>
              </w:rPr>
            </w:pPr>
            <w:r>
              <w:rPr>
                <w:rFonts w:hint="eastAsia"/>
                <w:sz w:val="20"/>
                <w:szCs w:val="20"/>
              </w:rPr>
              <w:t>铜陵学院</w:t>
            </w:r>
          </w:p>
        </w:tc>
        <w:tc>
          <w:tcPr>
            <w:tcW w:w="1628" w:type="dxa"/>
            <w:shd w:val="clear" w:color="auto" w:fill="auto"/>
            <w:vAlign w:val="center"/>
          </w:tcPr>
          <w:p w14:paraId="53BAB1BE">
            <w:pPr>
              <w:widowControl/>
              <w:jc w:val="center"/>
              <w:rPr>
                <w:rFonts w:ascii="Arial" w:hAnsi="Arial" w:eastAsia="宋体" w:cs="Arial"/>
                <w:snapToGrid w:val="0"/>
                <w:color w:val="000000"/>
                <w:kern w:val="0"/>
                <w:sz w:val="20"/>
                <w:szCs w:val="20"/>
                <w:lang w:val="en-US" w:eastAsia="en-US" w:bidi="ar-SA"/>
              </w:rPr>
            </w:pPr>
            <w:r>
              <w:rPr>
                <w:rFonts w:hint="eastAsia"/>
                <w:sz w:val="20"/>
                <w:szCs w:val="20"/>
              </w:rPr>
              <w:t>Java程序设计、Web程序设计</w:t>
            </w:r>
          </w:p>
        </w:tc>
      </w:tr>
      <w:tr w14:paraId="77C2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shd w:val="clear" w:color="auto" w:fill="auto"/>
            <w:vAlign w:val="center"/>
          </w:tcPr>
          <w:p w14:paraId="04BA7283">
            <w:pPr>
              <w:jc w:val="center"/>
              <w:rPr>
                <w:rFonts w:hint="eastAsia" w:ascii="Arial" w:hAnsi="Arial" w:eastAsia="方正仿宋_GBK" w:cs="Arial"/>
                <w:snapToGrid w:val="0"/>
                <w:color w:val="000000"/>
                <w:kern w:val="0"/>
                <w:sz w:val="20"/>
                <w:szCs w:val="20"/>
                <w:lang w:val="en-US" w:eastAsia="en-US" w:bidi="ar-SA"/>
              </w:rPr>
            </w:pPr>
            <w:r>
              <w:rPr>
                <w:rFonts w:hint="eastAsia"/>
                <w:kern w:val="0"/>
                <w:sz w:val="20"/>
                <w:szCs w:val="20"/>
              </w:rPr>
              <w:t>4</w:t>
            </w:r>
          </w:p>
        </w:tc>
        <w:tc>
          <w:tcPr>
            <w:tcW w:w="707" w:type="dxa"/>
            <w:shd w:val="clear" w:color="auto" w:fill="auto"/>
            <w:vAlign w:val="center"/>
          </w:tcPr>
          <w:p w14:paraId="28C545CC">
            <w:pPr>
              <w:jc w:val="center"/>
              <w:rPr>
                <w:rFonts w:hint="default" w:ascii="Arial" w:hAnsi="Arial" w:eastAsia="宋体" w:cs="Arial"/>
                <w:snapToGrid w:val="0"/>
                <w:color w:val="000000"/>
                <w:kern w:val="0"/>
                <w:sz w:val="20"/>
                <w:szCs w:val="20"/>
                <w:lang w:val="en-US" w:eastAsia="en-US" w:bidi="ar-SA"/>
              </w:rPr>
            </w:pPr>
            <w:r>
              <w:rPr>
                <w:rFonts w:hint="eastAsia" w:eastAsia="宋体"/>
                <w:sz w:val="20"/>
                <w:szCs w:val="20"/>
                <w:lang w:val="en-US" w:eastAsia="zh-CN"/>
              </w:rPr>
              <w:t>V</w:t>
            </w:r>
            <w:r>
              <w:rPr>
                <w:rFonts w:hint="eastAsia"/>
                <w:sz w:val="20"/>
                <w:szCs w:val="20"/>
              </w:rPr>
              <w:t>06</w:t>
            </w:r>
            <w:r>
              <w:rPr>
                <w:rFonts w:hint="eastAsia" w:eastAsia="宋体"/>
                <w:sz w:val="20"/>
                <w:szCs w:val="20"/>
                <w:lang w:val="en-US" w:eastAsia="zh-CN"/>
              </w:rPr>
              <w:t>0004</w:t>
            </w:r>
          </w:p>
        </w:tc>
        <w:tc>
          <w:tcPr>
            <w:tcW w:w="1359" w:type="dxa"/>
            <w:shd w:val="clear" w:color="auto" w:fill="auto"/>
            <w:vAlign w:val="center"/>
          </w:tcPr>
          <w:p w14:paraId="09429E0C">
            <w:pPr>
              <w:jc w:val="center"/>
              <w:rPr>
                <w:rFonts w:ascii="Calibri" w:hAnsi="Calibri" w:eastAsia="宋体" w:cs="Times New Roman"/>
                <w:snapToGrid w:val="0"/>
                <w:color w:val="000000"/>
                <w:kern w:val="0"/>
                <w:sz w:val="20"/>
                <w:szCs w:val="20"/>
                <w:lang w:val="en-US" w:eastAsia="en-US" w:bidi="ar-SA"/>
              </w:rPr>
            </w:pPr>
            <w:r>
              <w:rPr>
                <w:rFonts w:hint="eastAsia"/>
                <w:sz w:val="20"/>
                <w:szCs w:val="20"/>
                <w:lang w:val="en-US" w:eastAsia="zh-CN"/>
              </w:rPr>
              <w:t>智能机器人与控制系统</w:t>
            </w:r>
          </w:p>
        </w:tc>
        <w:tc>
          <w:tcPr>
            <w:tcW w:w="367" w:type="dxa"/>
            <w:shd w:val="clear" w:color="auto" w:fill="auto"/>
            <w:vAlign w:val="center"/>
          </w:tcPr>
          <w:p w14:paraId="6C018037">
            <w:pPr>
              <w:jc w:val="center"/>
              <w:rPr>
                <w:rFonts w:ascii="Calibri" w:hAnsi="Calibri" w:eastAsia="宋体" w:cs="Times New Roman"/>
                <w:snapToGrid w:val="0"/>
                <w:color w:val="000000"/>
                <w:kern w:val="0"/>
                <w:sz w:val="20"/>
                <w:szCs w:val="20"/>
                <w:lang w:val="en-US" w:eastAsia="en-US" w:bidi="ar-SA"/>
              </w:rPr>
            </w:pPr>
            <w:r>
              <w:rPr>
                <w:rFonts w:hint="eastAsia" w:cs="Times New Roman"/>
                <w:sz w:val="20"/>
                <w:szCs w:val="20"/>
              </w:rPr>
              <w:t>2</w:t>
            </w:r>
          </w:p>
        </w:tc>
        <w:tc>
          <w:tcPr>
            <w:tcW w:w="413" w:type="dxa"/>
            <w:shd w:val="clear" w:color="auto" w:fill="auto"/>
            <w:vAlign w:val="center"/>
          </w:tcPr>
          <w:p w14:paraId="6A6A7D42">
            <w:pPr>
              <w:jc w:val="center"/>
              <w:rPr>
                <w:rFonts w:ascii="Calibri" w:hAnsi="Calibri" w:eastAsia="宋体" w:cs="Times New Roman"/>
                <w:snapToGrid w:val="0"/>
                <w:color w:val="000000"/>
                <w:kern w:val="0"/>
                <w:sz w:val="20"/>
                <w:szCs w:val="20"/>
                <w:lang w:val="en-US" w:eastAsia="en-US" w:bidi="ar-SA"/>
              </w:rPr>
            </w:pPr>
            <w:r>
              <w:rPr>
                <w:rFonts w:hint="eastAsia" w:cs="Times New Roman"/>
                <w:sz w:val="20"/>
                <w:szCs w:val="20"/>
              </w:rPr>
              <w:t>3</w:t>
            </w:r>
          </w:p>
        </w:tc>
        <w:tc>
          <w:tcPr>
            <w:tcW w:w="529" w:type="dxa"/>
            <w:shd w:val="clear" w:color="auto" w:fill="auto"/>
            <w:vAlign w:val="center"/>
          </w:tcPr>
          <w:p w14:paraId="5D51E71F">
            <w:pPr>
              <w:jc w:val="center"/>
              <w:rPr>
                <w:rFonts w:ascii="Calibri" w:hAnsi="Calibri" w:eastAsia="宋体" w:cs="Times New Roman"/>
                <w:b w:val="0"/>
                <w:bCs w:val="0"/>
                <w:snapToGrid w:val="0"/>
                <w:color w:val="000000"/>
                <w:kern w:val="0"/>
                <w:sz w:val="20"/>
                <w:szCs w:val="20"/>
                <w:lang w:val="en-US" w:eastAsia="en-US" w:bidi="ar-SA"/>
              </w:rPr>
            </w:pPr>
            <w:r>
              <w:rPr>
                <w:rFonts w:hint="eastAsia" w:cs="Times New Roman"/>
                <w:b w:val="0"/>
                <w:bCs w:val="0"/>
                <w:sz w:val="20"/>
                <w:szCs w:val="20"/>
              </w:rPr>
              <w:t>32</w:t>
            </w:r>
          </w:p>
        </w:tc>
        <w:tc>
          <w:tcPr>
            <w:tcW w:w="368" w:type="dxa"/>
            <w:shd w:val="clear" w:color="auto" w:fill="auto"/>
            <w:vAlign w:val="center"/>
          </w:tcPr>
          <w:p w14:paraId="363704E2">
            <w:pPr>
              <w:jc w:val="center"/>
              <w:rPr>
                <w:rFonts w:ascii="Calibri" w:hAnsi="Calibri" w:eastAsia="宋体" w:cs="Times New Roman"/>
                <w:b w:val="0"/>
                <w:bCs w:val="0"/>
                <w:snapToGrid w:val="0"/>
                <w:color w:val="000000"/>
                <w:kern w:val="0"/>
                <w:sz w:val="20"/>
                <w:szCs w:val="20"/>
                <w:lang w:val="en-US" w:eastAsia="en-US" w:bidi="ar-SA"/>
              </w:rPr>
            </w:pPr>
            <w:r>
              <w:rPr>
                <w:rFonts w:hint="eastAsia" w:eastAsia="宋体" w:cs="Times New Roman"/>
                <w:b w:val="0"/>
                <w:bCs w:val="0"/>
                <w:sz w:val="20"/>
                <w:szCs w:val="20"/>
                <w:lang w:val="en-US" w:eastAsia="zh-CN"/>
              </w:rPr>
              <w:t>16</w:t>
            </w:r>
          </w:p>
        </w:tc>
        <w:tc>
          <w:tcPr>
            <w:tcW w:w="368" w:type="dxa"/>
            <w:shd w:val="clear" w:color="auto" w:fill="auto"/>
            <w:vAlign w:val="center"/>
          </w:tcPr>
          <w:p w14:paraId="4322695A">
            <w:pPr>
              <w:jc w:val="center"/>
              <w:rPr>
                <w:rFonts w:hint="eastAsia" w:ascii="Calibri" w:hAnsi="Calibri" w:eastAsia="宋体" w:cs="Times New Roman"/>
                <w:snapToGrid w:val="0"/>
                <w:color w:val="000000"/>
                <w:kern w:val="0"/>
                <w:sz w:val="20"/>
                <w:szCs w:val="20"/>
                <w:lang w:val="en-US" w:eastAsia="en-US" w:bidi="ar-SA"/>
              </w:rPr>
            </w:pPr>
            <w:r>
              <w:rPr>
                <w:rFonts w:hint="eastAsia" w:eastAsia="宋体" w:cs="Times New Roman"/>
                <w:sz w:val="20"/>
                <w:szCs w:val="20"/>
                <w:lang w:val="en-US" w:eastAsia="zh-CN"/>
              </w:rPr>
              <w:t>4</w:t>
            </w:r>
          </w:p>
        </w:tc>
        <w:tc>
          <w:tcPr>
            <w:tcW w:w="420" w:type="dxa"/>
            <w:shd w:val="clear" w:color="auto" w:fill="auto"/>
            <w:vAlign w:val="center"/>
          </w:tcPr>
          <w:p w14:paraId="69B206D5">
            <w:pPr>
              <w:jc w:val="center"/>
              <w:rPr>
                <w:rFonts w:hint="eastAsia" w:ascii="Calibri" w:hAnsi="Calibri" w:eastAsia="宋体" w:cs="Times New Roman"/>
                <w:snapToGrid w:val="0"/>
                <w:color w:val="000000"/>
                <w:kern w:val="0"/>
                <w:sz w:val="20"/>
                <w:szCs w:val="20"/>
                <w:lang w:val="en-US" w:eastAsia="en-US" w:bidi="ar-SA"/>
              </w:rPr>
            </w:pPr>
            <w:r>
              <w:rPr>
                <w:rFonts w:hint="eastAsia" w:eastAsia="宋体" w:cs="Times New Roman"/>
                <w:sz w:val="20"/>
                <w:szCs w:val="20"/>
                <w:lang w:val="en-US" w:eastAsia="zh-CN"/>
              </w:rPr>
              <w:t>4</w:t>
            </w:r>
          </w:p>
        </w:tc>
        <w:tc>
          <w:tcPr>
            <w:tcW w:w="469" w:type="dxa"/>
            <w:shd w:val="clear" w:color="auto" w:fill="auto"/>
            <w:vAlign w:val="center"/>
          </w:tcPr>
          <w:p w14:paraId="46E080B6">
            <w:pPr>
              <w:jc w:val="center"/>
              <w:rPr>
                <w:rFonts w:hint="eastAsia" w:ascii="Calibri" w:hAnsi="Calibri" w:eastAsia="宋体" w:cs="Times New Roman"/>
                <w:snapToGrid w:val="0"/>
                <w:color w:val="000000"/>
                <w:kern w:val="0"/>
                <w:sz w:val="20"/>
                <w:szCs w:val="20"/>
                <w:lang w:val="en-US" w:eastAsia="en-US" w:bidi="ar-SA"/>
              </w:rPr>
            </w:pPr>
            <w:r>
              <w:rPr>
                <w:rFonts w:hint="eastAsia" w:cs="Times New Roman"/>
                <w:sz w:val="20"/>
                <w:szCs w:val="20"/>
              </w:rPr>
              <w:t>8</w:t>
            </w:r>
          </w:p>
        </w:tc>
        <w:tc>
          <w:tcPr>
            <w:tcW w:w="393" w:type="dxa"/>
            <w:shd w:val="clear" w:color="auto" w:fill="auto"/>
            <w:vAlign w:val="center"/>
          </w:tcPr>
          <w:p w14:paraId="5B19CC83">
            <w:pPr>
              <w:jc w:val="center"/>
              <w:rPr>
                <w:rFonts w:hint="eastAsia" w:ascii="Calibri" w:hAnsi="Calibri" w:eastAsia="宋体" w:cs="Times New Roman"/>
                <w:snapToGrid w:val="0"/>
                <w:color w:val="000000"/>
                <w:kern w:val="0"/>
                <w:sz w:val="20"/>
                <w:szCs w:val="20"/>
                <w:lang w:val="en-US" w:eastAsia="en-US" w:bidi="ar-SA"/>
              </w:rPr>
            </w:pPr>
            <w:r>
              <w:rPr>
                <w:rFonts w:hint="eastAsia" w:eastAsia="宋体" w:cs="Times New Roman"/>
                <w:sz w:val="20"/>
                <w:szCs w:val="20"/>
                <w:lang w:val="en-US" w:eastAsia="zh-CN"/>
              </w:rPr>
              <w:t>2</w:t>
            </w:r>
          </w:p>
        </w:tc>
        <w:tc>
          <w:tcPr>
            <w:tcW w:w="633" w:type="dxa"/>
            <w:shd w:val="clear" w:color="auto" w:fill="auto"/>
            <w:vAlign w:val="center"/>
          </w:tcPr>
          <w:p w14:paraId="4D0F7D40">
            <w:pPr>
              <w:jc w:val="center"/>
              <w:rPr>
                <w:rFonts w:ascii="Calibri" w:hAnsi="Calibri" w:eastAsia="宋体" w:cs="Times New Roman"/>
                <w:snapToGrid w:val="0"/>
                <w:color w:val="000000"/>
                <w:kern w:val="0"/>
                <w:sz w:val="20"/>
                <w:szCs w:val="20"/>
                <w:lang w:val="en-US" w:eastAsia="en-US" w:bidi="ar-SA"/>
              </w:rPr>
            </w:pPr>
            <w:r>
              <w:rPr>
                <w:rFonts w:hint="eastAsia" w:eastAsia="宋体" w:cs="Times New Roman"/>
                <w:sz w:val="20"/>
                <w:szCs w:val="20"/>
                <w:lang w:val="en-US" w:eastAsia="zh-CN"/>
              </w:rPr>
              <w:t>王福成</w:t>
            </w:r>
            <w:r>
              <w:rPr>
                <w:rFonts w:hint="eastAsia" w:cs="Times New Roman"/>
                <w:sz w:val="20"/>
                <w:szCs w:val="20"/>
              </w:rPr>
              <w:t>、</w:t>
            </w:r>
            <w:r>
              <w:rPr>
                <w:rFonts w:hint="eastAsia" w:eastAsia="宋体" w:cs="Times New Roman"/>
                <w:sz w:val="20"/>
                <w:szCs w:val="20"/>
                <w:lang w:val="en-US" w:eastAsia="zh-CN"/>
              </w:rPr>
              <w:t>周铨</w:t>
            </w:r>
          </w:p>
        </w:tc>
        <w:tc>
          <w:tcPr>
            <w:tcW w:w="588" w:type="dxa"/>
            <w:shd w:val="clear" w:color="auto" w:fill="auto"/>
            <w:vAlign w:val="center"/>
          </w:tcPr>
          <w:p w14:paraId="6620F22F">
            <w:pPr>
              <w:jc w:val="center"/>
              <w:rPr>
                <w:rFonts w:hint="eastAsia" w:ascii="Calibri" w:hAnsi="Calibri" w:eastAsia="宋体" w:cs="Times New Roman"/>
                <w:snapToGrid w:val="0"/>
                <w:color w:val="000000"/>
                <w:kern w:val="0"/>
                <w:sz w:val="20"/>
                <w:szCs w:val="20"/>
                <w:lang w:val="en-US" w:eastAsia="zh-CN" w:bidi="ar-SA"/>
              </w:rPr>
            </w:pPr>
            <w:r>
              <w:rPr>
                <w:rFonts w:hint="eastAsia"/>
                <w:sz w:val="20"/>
                <w:szCs w:val="20"/>
              </w:rPr>
              <w:t>考查</w:t>
            </w:r>
          </w:p>
        </w:tc>
        <w:tc>
          <w:tcPr>
            <w:tcW w:w="1142" w:type="dxa"/>
            <w:shd w:val="clear" w:color="auto" w:fill="auto"/>
            <w:vAlign w:val="center"/>
          </w:tcPr>
          <w:p w14:paraId="2010B344">
            <w:pPr>
              <w:jc w:val="center"/>
              <w:rPr>
                <w:rFonts w:hint="eastAsia" w:ascii="Calibri" w:hAnsi="Calibri" w:eastAsia="宋体" w:cs="Times New Roman"/>
                <w:snapToGrid w:val="0"/>
                <w:color w:val="000000"/>
                <w:kern w:val="0"/>
                <w:sz w:val="20"/>
                <w:szCs w:val="20"/>
                <w:lang w:val="en-US" w:eastAsia="zh-CN" w:bidi="ar-SA"/>
              </w:rPr>
            </w:pPr>
            <w:r>
              <w:rPr>
                <w:rFonts w:hint="eastAsia"/>
                <w:sz w:val="20"/>
                <w:szCs w:val="20"/>
              </w:rPr>
              <w:t>铜陵学院</w:t>
            </w:r>
            <w:r>
              <w:rPr>
                <w:rFonts w:hint="eastAsia" w:eastAsia="宋体"/>
                <w:sz w:val="20"/>
                <w:szCs w:val="20"/>
                <w:lang w:val="en-US" w:eastAsia="zh-CN"/>
              </w:rPr>
              <w:t>/</w:t>
            </w:r>
            <w:r>
              <w:rPr>
                <w:rFonts w:hint="eastAsia"/>
                <w:sz w:val="20"/>
                <w:szCs w:val="20"/>
              </w:rPr>
              <w:t>安徽陆科光电科技有限公司</w:t>
            </w:r>
          </w:p>
        </w:tc>
        <w:tc>
          <w:tcPr>
            <w:tcW w:w="1628" w:type="dxa"/>
            <w:shd w:val="clear" w:color="auto" w:fill="auto"/>
            <w:vAlign w:val="center"/>
          </w:tcPr>
          <w:p w14:paraId="175FE18E">
            <w:pPr>
              <w:widowControl/>
              <w:jc w:val="center"/>
              <w:rPr>
                <w:rFonts w:hint="eastAsia" w:ascii="Calibri" w:hAnsi="Calibri" w:eastAsia="宋体" w:cs="Times New Roman"/>
                <w:snapToGrid w:val="0"/>
                <w:color w:val="000000"/>
                <w:kern w:val="0"/>
                <w:sz w:val="20"/>
                <w:szCs w:val="20"/>
                <w:lang w:val="en-US" w:eastAsia="zh-CN" w:bidi="ar-SA"/>
              </w:rPr>
            </w:pPr>
            <w:r>
              <w:rPr>
                <w:rFonts w:hint="eastAsia" w:eastAsia="宋体"/>
                <w:sz w:val="20"/>
                <w:szCs w:val="20"/>
                <w:lang w:val="en-US" w:eastAsia="zh-CN"/>
              </w:rPr>
              <w:t>C/Python</w:t>
            </w:r>
          </w:p>
        </w:tc>
      </w:tr>
      <w:tr w14:paraId="33D9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shd w:val="clear" w:color="auto" w:fill="auto"/>
            <w:vAlign w:val="center"/>
          </w:tcPr>
          <w:p w14:paraId="17817F0D">
            <w:pPr>
              <w:jc w:val="center"/>
              <w:rPr>
                <w:rFonts w:hint="eastAsia" w:eastAsia="宋体"/>
                <w:kern w:val="0"/>
                <w:sz w:val="20"/>
                <w:szCs w:val="20"/>
                <w:lang w:val="en-US" w:eastAsia="zh-CN"/>
              </w:rPr>
            </w:pPr>
            <w:r>
              <w:rPr>
                <w:rFonts w:hint="eastAsia" w:eastAsia="宋体"/>
                <w:kern w:val="0"/>
                <w:sz w:val="20"/>
                <w:szCs w:val="20"/>
                <w:lang w:val="en-US" w:eastAsia="zh-CN"/>
              </w:rPr>
              <w:t>5</w:t>
            </w:r>
          </w:p>
        </w:tc>
        <w:tc>
          <w:tcPr>
            <w:tcW w:w="707" w:type="dxa"/>
            <w:shd w:val="clear" w:color="auto" w:fill="auto"/>
            <w:vAlign w:val="center"/>
          </w:tcPr>
          <w:p w14:paraId="1992F3A6">
            <w:pPr>
              <w:jc w:val="center"/>
              <w:rPr>
                <w:rFonts w:hint="eastAsia" w:ascii="Arial" w:hAnsi="Arial" w:eastAsia="宋体" w:cs="Arial"/>
                <w:snapToGrid w:val="0"/>
                <w:color w:val="000000"/>
                <w:kern w:val="0"/>
                <w:sz w:val="20"/>
                <w:szCs w:val="20"/>
                <w:lang w:val="en-US" w:eastAsia="zh-CN" w:bidi="ar-SA"/>
              </w:rPr>
            </w:pPr>
            <w:r>
              <w:rPr>
                <w:rFonts w:hint="eastAsia" w:eastAsia="宋体"/>
                <w:sz w:val="20"/>
                <w:szCs w:val="20"/>
                <w:lang w:val="en-US" w:eastAsia="zh-CN"/>
              </w:rPr>
              <w:t>V</w:t>
            </w:r>
            <w:r>
              <w:rPr>
                <w:rFonts w:hint="eastAsia"/>
                <w:sz w:val="20"/>
                <w:szCs w:val="20"/>
              </w:rPr>
              <w:t>06</w:t>
            </w:r>
            <w:r>
              <w:rPr>
                <w:rFonts w:hint="eastAsia" w:eastAsia="宋体"/>
                <w:sz w:val="20"/>
                <w:szCs w:val="20"/>
                <w:lang w:val="en-US" w:eastAsia="zh-CN"/>
              </w:rPr>
              <w:t>0003</w:t>
            </w:r>
          </w:p>
        </w:tc>
        <w:tc>
          <w:tcPr>
            <w:tcW w:w="1359" w:type="dxa"/>
            <w:shd w:val="clear" w:color="auto" w:fill="auto"/>
            <w:vAlign w:val="center"/>
          </w:tcPr>
          <w:p w14:paraId="105EDEB9">
            <w:pPr>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lang w:val="en-US" w:eastAsia="zh-CN"/>
              </w:rPr>
              <w:t>工业视觉检测系统与应用</w:t>
            </w:r>
          </w:p>
        </w:tc>
        <w:tc>
          <w:tcPr>
            <w:tcW w:w="367" w:type="dxa"/>
            <w:shd w:val="clear" w:color="auto" w:fill="auto"/>
            <w:vAlign w:val="center"/>
          </w:tcPr>
          <w:p w14:paraId="03827ECE">
            <w:pPr>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rPr>
              <w:t>3</w:t>
            </w:r>
          </w:p>
        </w:tc>
        <w:tc>
          <w:tcPr>
            <w:tcW w:w="413" w:type="dxa"/>
            <w:shd w:val="clear" w:color="auto" w:fill="auto"/>
            <w:vAlign w:val="center"/>
          </w:tcPr>
          <w:p w14:paraId="245CA412">
            <w:pPr>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rPr>
              <w:t>4</w:t>
            </w:r>
          </w:p>
        </w:tc>
        <w:tc>
          <w:tcPr>
            <w:tcW w:w="529" w:type="dxa"/>
            <w:shd w:val="clear" w:color="auto" w:fill="auto"/>
            <w:vAlign w:val="center"/>
          </w:tcPr>
          <w:p w14:paraId="6C92D170">
            <w:pPr>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rPr>
              <w:t>48</w:t>
            </w:r>
          </w:p>
        </w:tc>
        <w:tc>
          <w:tcPr>
            <w:tcW w:w="368" w:type="dxa"/>
            <w:shd w:val="clear" w:color="auto" w:fill="auto"/>
            <w:vAlign w:val="center"/>
          </w:tcPr>
          <w:p w14:paraId="07743F11">
            <w:pPr>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rPr>
              <w:t>16</w:t>
            </w:r>
          </w:p>
        </w:tc>
        <w:tc>
          <w:tcPr>
            <w:tcW w:w="368" w:type="dxa"/>
            <w:shd w:val="clear" w:color="auto" w:fill="auto"/>
            <w:vAlign w:val="center"/>
          </w:tcPr>
          <w:p w14:paraId="4570D50D">
            <w:pPr>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rPr>
              <w:t>4</w:t>
            </w:r>
          </w:p>
        </w:tc>
        <w:tc>
          <w:tcPr>
            <w:tcW w:w="420" w:type="dxa"/>
            <w:shd w:val="clear" w:color="auto" w:fill="auto"/>
            <w:vAlign w:val="center"/>
          </w:tcPr>
          <w:p w14:paraId="3F9169E1">
            <w:pPr>
              <w:jc w:val="center"/>
              <w:rPr>
                <w:rFonts w:hint="eastAsia" w:ascii="Calibri" w:hAnsi="Calibri" w:eastAsia="宋体" w:cs="Times New Roman"/>
                <w:snapToGrid w:val="0"/>
                <w:color w:val="000000"/>
                <w:kern w:val="0"/>
                <w:sz w:val="20"/>
                <w:szCs w:val="20"/>
                <w:lang w:val="en-US" w:eastAsia="zh-CN" w:bidi="ar-SA"/>
              </w:rPr>
            </w:pPr>
            <w:r>
              <w:rPr>
                <w:rFonts w:hint="eastAsia" w:ascii="Calibri" w:hAnsi="Calibri" w:eastAsia="宋体" w:cs="Times New Roman"/>
                <w:sz w:val="20"/>
                <w:szCs w:val="20"/>
                <w:lang w:val="en-US" w:eastAsia="zh-CN"/>
              </w:rPr>
              <w:t>8</w:t>
            </w:r>
          </w:p>
        </w:tc>
        <w:tc>
          <w:tcPr>
            <w:tcW w:w="469" w:type="dxa"/>
            <w:shd w:val="clear" w:color="auto" w:fill="auto"/>
            <w:vAlign w:val="center"/>
          </w:tcPr>
          <w:p w14:paraId="3AE2400D">
            <w:pPr>
              <w:jc w:val="center"/>
              <w:rPr>
                <w:rFonts w:hint="eastAsia" w:ascii="Calibri" w:hAnsi="Calibri" w:eastAsia="宋体" w:cs="Times New Roman"/>
                <w:snapToGrid w:val="0"/>
                <w:color w:val="000000"/>
                <w:kern w:val="0"/>
                <w:sz w:val="20"/>
                <w:szCs w:val="20"/>
                <w:lang w:val="en-US" w:eastAsia="zh-CN" w:bidi="ar-SA"/>
              </w:rPr>
            </w:pPr>
            <w:r>
              <w:rPr>
                <w:rFonts w:hint="eastAsia" w:ascii="Calibri" w:hAnsi="Calibri" w:eastAsia="宋体" w:cs="Times New Roman"/>
                <w:sz w:val="20"/>
                <w:szCs w:val="20"/>
                <w:lang w:val="en-US" w:eastAsia="zh-CN"/>
              </w:rPr>
              <w:t>20</w:t>
            </w:r>
          </w:p>
        </w:tc>
        <w:tc>
          <w:tcPr>
            <w:tcW w:w="393" w:type="dxa"/>
            <w:shd w:val="clear" w:color="auto" w:fill="auto"/>
            <w:vAlign w:val="center"/>
          </w:tcPr>
          <w:p w14:paraId="25FEFD22">
            <w:pPr>
              <w:jc w:val="center"/>
              <w:rPr>
                <w:rFonts w:hint="eastAsia" w:ascii="Calibri" w:hAnsi="Calibri" w:eastAsia="宋体" w:cs="Times New Roman"/>
                <w:snapToGrid w:val="0"/>
                <w:color w:val="000000"/>
                <w:kern w:val="0"/>
                <w:sz w:val="20"/>
                <w:szCs w:val="20"/>
                <w:lang w:val="en-US" w:eastAsia="zh-CN" w:bidi="ar-SA"/>
              </w:rPr>
            </w:pPr>
            <w:r>
              <w:rPr>
                <w:rFonts w:hint="eastAsia" w:eastAsia="宋体"/>
                <w:sz w:val="20"/>
                <w:szCs w:val="20"/>
                <w:lang w:val="en-US" w:eastAsia="zh-CN"/>
              </w:rPr>
              <w:t>3</w:t>
            </w:r>
          </w:p>
        </w:tc>
        <w:tc>
          <w:tcPr>
            <w:tcW w:w="633" w:type="dxa"/>
            <w:shd w:val="clear" w:color="auto" w:fill="auto"/>
            <w:vAlign w:val="center"/>
          </w:tcPr>
          <w:p w14:paraId="694BAEEA">
            <w:pPr>
              <w:jc w:val="center"/>
              <w:rPr>
                <w:rFonts w:hint="eastAsia" w:ascii="Calibri" w:hAnsi="Calibri" w:eastAsia="宋体" w:cs="Times New Roman"/>
                <w:snapToGrid w:val="0"/>
                <w:color w:val="000000"/>
                <w:kern w:val="0"/>
                <w:sz w:val="20"/>
                <w:szCs w:val="20"/>
                <w:lang w:val="en-US" w:eastAsia="zh-CN" w:bidi="ar-SA"/>
              </w:rPr>
            </w:pPr>
            <w:r>
              <w:rPr>
                <w:rFonts w:hint="eastAsia" w:eastAsia="宋体"/>
                <w:sz w:val="20"/>
                <w:szCs w:val="20"/>
                <w:lang w:val="en-US" w:eastAsia="zh-CN"/>
              </w:rPr>
              <w:t>詹邦成</w:t>
            </w:r>
            <w:r>
              <w:rPr>
                <w:rFonts w:hint="eastAsia" w:eastAsia="宋体"/>
                <w:sz w:val="20"/>
                <w:szCs w:val="20"/>
                <w:lang w:eastAsia="zh-CN"/>
              </w:rPr>
              <w:t>、</w:t>
            </w:r>
            <w:r>
              <w:rPr>
                <w:rFonts w:hint="eastAsia" w:eastAsia="宋体"/>
                <w:sz w:val="20"/>
                <w:szCs w:val="20"/>
                <w:lang w:val="en-US" w:eastAsia="zh-CN"/>
              </w:rPr>
              <w:t>张芮铫</w:t>
            </w:r>
          </w:p>
        </w:tc>
        <w:tc>
          <w:tcPr>
            <w:tcW w:w="588" w:type="dxa"/>
            <w:shd w:val="clear" w:color="auto" w:fill="auto"/>
            <w:vAlign w:val="center"/>
          </w:tcPr>
          <w:p w14:paraId="74768858">
            <w:pPr>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rPr>
              <w:t>考查</w:t>
            </w:r>
          </w:p>
        </w:tc>
        <w:tc>
          <w:tcPr>
            <w:tcW w:w="1142" w:type="dxa"/>
            <w:shd w:val="clear" w:color="auto" w:fill="auto"/>
            <w:vAlign w:val="center"/>
          </w:tcPr>
          <w:p w14:paraId="2D45CB03">
            <w:pPr>
              <w:jc w:val="center"/>
              <w:rPr>
                <w:rFonts w:hint="eastAsia" w:ascii="Calibri" w:hAnsi="Calibri" w:eastAsia="宋体" w:cs="Times New Roman"/>
                <w:snapToGrid w:val="0"/>
                <w:color w:val="000000"/>
                <w:kern w:val="0"/>
                <w:sz w:val="20"/>
                <w:szCs w:val="20"/>
                <w:lang w:val="en-US" w:eastAsia="en-US" w:bidi="ar-SA"/>
              </w:rPr>
            </w:pPr>
            <w:r>
              <w:rPr>
                <w:rFonts w:hint="eastAsia"/>
                <w:sz w:val="20"/>
                <w:szCs w:val="20"/>
              </w:rPr>
              <w:t>铜陵学院</w:t>
            </w:r>
          </w:p>
        </w:tc>
        <w:tc>
          <w:tcPr>
            <w:tcW w:w="1628" w:type="dxa"/>
            <w:shd w:val="clear" w:color="auto" w:fill="auto"/>
            <w:vAlign w:val="center"/>
          </w:tcPr>
          <w:p w14:paraId="4A1ABFD2">
            <w:pPr>
              <w:widowControl/>
              <w:jc w:val="center"/>
              <w:rPr>
                <w:rFonts w:hint="default" w:ascii="Calibri" w:hAnsi="Calibri" w:eastAsia="宋体" w:cs="Times New Roman"/>
                <w:snapToGrid w:val="0"/>
                <w:color w:val="000000"/>
                <w:kern w:val="0"/>
                <w:sz w:val="20"/>
                <w:szCs w:val="20"/>
                <w:lang w:val="en-US" w:eastAsia="zh-CN" w:bidi="ar-SA"/>
              </w:rPr>
            </w:pPr>
            <w:r>
              <w:rPr>
                <w:rFonts w:hint="eastAsia" w:ascii="Calibri" w:hAnsi="Calibri" w:eastAsia="宋体" w:cs="Times New Roman"/>
                <w:snapToGrid w:val="0"/>
                <w:color w:val="000000"/>
                <w:kern w:val="0"/>
                <w:sz w:val="20"/>
                <w:szCs w:val="20"/>
                <w:lang w:val="en-US" w:eastAsia="zh-CN" w:bidi="ar-SA"/>
              </w:rPr>
              <w:t>线性代数</w:t>
            </w:r>
          </w:p>
        </w:tc>
      </w:tr>
      <w:tr w14:paraId="00AD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760" w:type="dxa"/>
            <w:vAlign w:val="center"/>
          </w:tcPr>
          <w:p w14:paraId="279FC7B7">
            <w:pPr>
              <w:jc w:val="center"/>
              <w:rPr>
                <w:rFonts w:hint="eastAsia" w:eastAsia="方正仿宋_GBK"/>
                <w:sz w:val="20"/>
                <w:szCs w:val="20"/>
                <w:lang w:val="en-US" w:eastAsia="zh-CN"/>
              </w:rPr>
            </w:pPr>
            <w:r>
              <w:rPr>
                <w:rFonts w:hint="eastAsia" w:eastAsia="方正仿宋_GBK"/>
                <w:sz w:val="20"/>
                <w:szCs w:val="20"/>
                <w:lang w:val="en-US" w:eastAsia="zh-CN"/>
              </w:rPr>
              <w:t>6</w:t>
            </w:r>
          </w:p>
        </w:tc>
        <w:tc>
          <w:tcPr>
            <w:tcW w:w="707" w:type="dxa"/>
            <w:vAlign w:val="center"/>
          </w:tcPr>
          <w:p w14:paraId="6FE25D87">
            <w:pPr>
              <w:jc w:val="center"/>
              <w:rPr>
                <w:rFonts w:hint="default" w:eastAsia="方正仿宋_GBK"/>
                <w:sz w:val="20"/>
                <w:szCs w:val="20"/>
                <w:lang w:val="en-US"/>
              </w:rPr>
            </w:pPr>
            <w:r>
              <w:rPr>
                <w:rFonts w:hint="eastAsia" w:eastAsia="宋体"/>
                <w:sz w:val="20"/>
                <w:szCs w:val="20"/>
                <w:lang w:val="en-US" w:eastAsia="zh-CN"/>
              </w:rPr>
              <w:t>V</w:t>
            </w:r>
            <w:r>
              <w:rPr>
                <w:rFonts w:hint="eastAsia"/>
                <w:sz w:val="20"/>
                <w:szCs w:val="20"/>
              </w:rPr>
              <w:t>06</w:t>
            </w:r>
            <w:r>
              <w:rPr>
                <w:rFonts w:hint="eastAsia" w:eastAsia="宋体"/>
                <w:sz w:val="20"/>
                <w:szCs w:val="20"/>
                <w:lang w:val="en-US" w:eastAsia="zh-CN"/>
              </w:rPr>
              <w:t>0005</w:t>
            </w:r>
          </w:p>
        </w:tc>
        <w:tc>
          <w:tcPr>
            <w:tcW w:w="1359" w:type="dxa"/>
            <w:vAlign w:val="center"/>
          </w:tcPr>
          <w:p w14:paraId="3DB418AB">
            <w:pPr>
              <w:jc w:val="center"/>
              <w:rPr>
                <w:rFonts w:ascii="Calibri" w:hAnsi="Calibri" w:eastAsia="宋体" w:cs="Times New Roman"/>
                <w:sz w:val="20"/>
                <w:szCs w:val="20"/>
              </w:rPr>
            </w:pPr>
            <w:r>
              <w:rPr>
                <w:rFonts w:hint="eastAsia"/>
                <w:sz w:val="20"/>
                <w:szCs w:val="20"/>
              </w:rPr>
              <w:t>智能软件系统开发综合实践</w:t>
            </w:r>
          </w:p>
        </w:tc>
        <w:tc>
          <w:tcPr>
            <w:tcW w:w="367" w:type="dxa"/>
            <w:vAlign w:val="center"/>
          </w:tcPr>
          <w:p w14:paraId="0F2220C7">
            <w:pPr>
              <w:jc w:val="center"/>
              <w:rPr>
                <w:rFonts w:hint="eastAsia" w:ascii="Calibri" w:hAnsi="Calibri" w:eastAsia="宋体" w:cs="Times New Roman"/>
                <w:sz w:val="20"/>
                <w:szCs w:val="20"/>
              </w:rPr>
            </w:pPr>
            <w:r>
              <w:rPr>
                <w:rFonts w:hint="eastAsia"/>
                <w:sz w:val="20"/>
                <w:szCs w:val="20"/>
              </w:rPr>
              <w:t>3</w:t>
            </w:r>
          </w:p>
        </w:tc>
        <w:tc>
          <w:tcPr>
            <w:tcW w:w="413" w:type="dxa"/>
            <w:vAlign w:val="center"/>
          </w:tcPr>
          <w:p w14:paraId="3F10EF0C">
            <w:pPr>
              <w:jc w:val="center"/>
              <w:rPr>
                <w:rFonts w:hint="eastAsia" w:ascii="Calibri" w:hAnsi="Calibri" w:eastAsia="宋体" w:cs="Times New Roman"/>
                <w:sz w:val="20"/>
                <w:szCs w:val="20"/>
              </w:rPr>
            </w:pPr>
            <w:r>
              <w:rPr>
                <w:rFonts w:hint="eastAsia"/>
                <w:sz w:val="20"/>
                <w:szCs w:val="20"/>
              </w:rPr>
              <w:t>4</w:t>
            </w:r>
          </w:p>
        </w:tc>
        <w:tc>
          <w:tcPr>
            <w:tcW w:w="529" w:type="dxa"/>
            <w:vAlign w:val="center"/>
          </w:tcPr>
          <w:p w14:paraId="1D4C3EF5">
            <w:pPr>
              <w:jc w:val="center"/>
              <w:rPr>
                <w:rFonts w:ascii="Calibri" w:hAnsi="Calibri" w:eastAsia="宋体" w:cs="Times New Roman"/>
                <w:sz w:val="20"/>
                <w:szCs w:val="20"/>
              </w:rPr>
            </w:pPr>
            <w:r>
              <w:rPr>
                <w:rFonts w:hint="eastAsia"/>
                <w:sz w:val="20"/>
                <w:szCs w:val="20"/>
              </w:rPr>
              <w:t>48</w:t>
            </w:r>
          </w:p>
        </w:tc>
        <w:tc>
          <w:tcPr>
            <w:tcW w:w="368" w:type="dxa"/>
            <w:vAlign w:val="center"/>
          </w:tcPr>
          <w:p w14:paraId="6F57F32C">
            <w:pPr>
              <w:jc w:val="center"/>
              <w:rPr>
                <w:rFonts w:ascii="Calibri" w:hAnsi="Calibri" w:eastAsia="宋体" w:cs="Times New Roman"/>
                <w:sz w:val="20"/>
                <w:szCs w:val="20"/>
              </w:rPr>
            </w:pPr>
            <w:r>
              <w:rPr>
                <w:rFonts w:hint="eastAsia"/>
                <w:sz w:val="20"/>
                <w:szCs w:val="20"/>
                <w:lang w:val="en-US" w:eastAsia="zh-CN"/>
              </w:rPr>
              <w:t>8</w:t>
            </w:r>
          </w:p>
        </w:tc>
        <w:tc>
          <w:tcPr>
            <w:tcW w:w="368" w:type="dxa"/>
            <w:vAlign w:val="center"/>
          </w:tcPr>
          <w:p w14:paraId="5D8E1F86">
            <w:pPr>
              <w:jc w:val="center"/>
              <w:rPr>
                <w:rFonts w:hint="eastAsia" w:ascii="Calibri" w:hAnsi="Calibri" w:eastAsia="宋体" w:cs="Times New Roman"/>
                <w:sz w:val="20"/>
                <w:szCs w:val="20"/>
              </w:rPr>
            </w:pPr>
            <w:r>
              <w:rPr>
                <w:rFonts w:hint="eastAsia" w:eastAsia="宋体"/>
                <w:sz w:val="20"/>
                <w:szCs w:val="20"/>
                <w:lang w:val="en-US" w:eastAsia="zh-CN"/>
              </w:rPr>
              <w:t>8</w:t>
            </w:r>
          </w:p>
        </w:tc>
        <w:tc>
          <w:tcPr>
            <w:tcW w:w="420" w:type="dxa"/>
            <w:vAlign w:val="center"/>
          </w:tcPr>
          <w:p w14:paraId="75EE06A3">
            <w:pPr>
              <w:jc w:val="center"/>
              <w:rPr>
                <w:rFonts w:hint="eastAsia" w:ascii="Calibri" w:hAnsi="Calibri" w:eastAsia="宋体" w:cs="Times New Roman"/>
                <w:sz w:val="20"/>
                <w:szCs w:val="20"/>
              </w:rPr>
            </w:pPr>
            <w:r>
              <w:rPr>
                <w:rFonts w:hint="eastAsia"/>
                <w:sz w:val="20"/>
                <w:szCs w:val="20"/>
              </w:rPr>
              <w:t>0</w:t>
            </w:r>
          </w:p>
        </w:tc>
        <w:tc>
          <w:tcPr>
            <w:tcW w:w="469" w:type="dxa"/>
            <w:vAlign w:val="center"/>
          </w:tcPr>
          <w:p w14:paraId="10E64C97">
            <w:pPr>
              <w:jc w:val="center"/>
              <w:rPr>
                <w:rFonts w:ascii="Calibri" w:hAnsi="Calibri" w:eastAsia="宋体" w:cs="Times New Roman"/>
                <w:sz w:val="20"/>
                <w:szCs w:val="20"/>
              </w:rPr>
            </w:pPr>
            <w:r>
              <w:rPr>
                <w:rFonts w:hint="eastAsia"/>
                <w:sz w:val="20"/>
                <w:szCs w:val="20"/>
              </w:rPr>
              <w:t>32</w:t>
            </w:r>
          </w:p>
        </w:tc>
        <w:tc>
          <w:tcPr>
            <w:tcW w:w="393" w:type="dxa"/>
            <w:vAlign w:val="center"/>
          </w:tcPr>
          <w:p w14:paraId="0C803BCA">
            <w:pPr>
              <w:jc w:val="center"/>
              <w:rPr>
                <w:rFonts w:hint="eastAsia" w:ascii="Calibri" w:hAnsi="Calibri" w:eastAsia="宋体" w:cs="Times New Roman"/>
                <w:sz w:val="20"/>
                <w:szCs w:val="20"/>
              </w:rPr>
            </w:pPr>
            <w:r>
              <w:rPr>
                <w:rFonts w:hint="eastAsia" w:eastAsia="宋体"/>
                <w:sz w:val="20"/>
                <w:szCs w:val="20"/>
                <w:lang w:val="en-US" w:eastAsia="zh-CN"/>
              </w:rPr>
              <w:t>4</w:t>
            </w:r>
          </w:p>
        </w:tc>
        <w:tc>
          <w:tcPr>
            <w:tcW w:w="633" w:type="dxa"/>
            <w:vAlign w:val="center"/>
          </w:tcPr>
          <w:p w14:paraId="1FD3F126">
            <w:pPr>
              <w:jc w:val="center"/>
              <w:rPr>
                <w:rFonts w:hint="eastAsia" w:ascii="Calibri" w:hAnsi="Calibri" w:eastAsia="宋体" w:cs="Times New Roman"/>
                <w:sz w:val="20"/>
                <w:szCs w:val="20"/>
                <w:lang w:eastAsia="zh-CN"/>
              </w:rPr>
            </w:pPr>
            <w:r>
              <w:rPr>
                <w:rFonts w:hint="eastAsia" w:cs="Times New Roman"/>
                <w:sz w:val="20"/>
                <w:szCs w:val="20"/>
              </w:rPr>
              <w:t>刘小勤、</w:t>
            </w:r>
            <w:r>
              <w:rPr>
                <w:rFonts w:hint="eastAsia" w:eastAsia="宋体" w:cs="Times New Roman"/>
                <w:sz w:val="20"/>
                <w:szCs w:val="20"/>
                <w:lang w:val="en-US" w:eastAsia="zh-CN"/>
              </w:rPr>
              <w:t>闫智</w:t>
            </w:r>
          </w:p>
        </w:tc>
        <w:tc>
          <w:tcPr>
            <w:tcW w:w="588" w:type="dxa"/>
            <w:vAlign w:val="center"/>
          </w:tcPr>
          <w:p w14:paraId="790A8D00">
            <w:pPr>
              <w:jc w:val="center"/>
              <w:rPr>
                <w:rFonts w:hint="eastAsia" w:ascii="Calibri" w:hAnsi="Calibri" w:eastAsia="宋体" w:cs="Times New Roman"/>
                <w:sz w:val="20"/>
                <w:szCs w:val="20"/>
              </w:rPr>
            </w:pPr>
            <w:r>
              <w:rPr>
                <w:rFonts w:hint="eastAsia"/>
                <w:sz w:val="20"/>
                <w:szCs w:val="20"/>
              </w:rPr>
              <w:t>考查</w:t>
            </w:r>
          </w:p>
        </w:tc>
        <w:tc>
          <w:tcPr>
            <w:tcW w:w="1142" w:type="dxa"/>
            <w:vAlign w:val="center"/>
          </w:tcPr>
          <w:p w14:paraId="0C6E66E6">
            <w:pPr>
              <w:jc w:val="center"/>
              <w:rPr>
                <w:rFonts w:ascii="Calibri" w:hAnsi="Calibri" w:eastAsia="宋体" w:cs="Times New Roman"/>
                <w:sz w:val="20"/>
                <w:szCs w:val="20"/>
              </w:rPr>
            </w:pPr>
            <w:r>
              <w:rPr>
                <w:rFonts w:hint="eastAsia"/>
                <w:sz w:val="20"/>
                <w:szCs w:val="20"/>
              </w:rPr>
              <w:t>安徽陆科光电科技有限公司</w:t>
            </w:r>
          </w:p>
        </w:tc>
        <w:tc>
          <w:tcPr>
            <w:tcW w:w="1628" w:type="dxa"/>
            <w:vAlign w:val="center"/>
          </w:tcPr>
          <w:p w14:paraId="223DE71C">
            <w:pPr>
              <w:widowControl/>
              <w:jc w:val="center"/>
              <w:rPr>
                <w:rFonts w:ascii="Calibri" w:hAnsi="Calibri" w:eastAsia="宋体" w:cs="Times New Roman"/>
                <w:sz w:val="20"/>
                <w:szCs w:val="20"/>
              </w:rPr>
            </w:pPr>
            <w:r>
              <w:rPr>
                <w:rFonts w:hint="eastAsia"/>
                <w:sz w:val="20"/>
                <w:szCs w:val="20"/>
              </w:rPr>
              <w:t>数据库、软件工程</w:t>
            </w:r>
          </w:p>
        </w:tc>
      </w:tr>
      <w:tr w14:paraId="2B8B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8" w:hRule="atLeast"/>
          <w:jc w:val="center"/>
        </w:trPr>
        <w:tc>
          <w:tcPr>
            <w:tcW w:w="2826" w:type="dxa"/>
            <w:gridSpan w:val="3"/>
            <w:vAlign w:val="center"/>
          </w:tcPr>
          <w:p w14:paraId="773AD341">
            <w:pPr>
              <w:spacing w:line="360" w:lineRule="auto"/>
              <w:jc w:val="center"/>
              <w:rPr>
                <w:sz w:val="20"/>
                <w:szCs w:val="20"/>
              </w:rPr>
            </w:pPr>
            <w:r>
              <w:rPr>
                <w:kern w:val="0"/>
                <w:sz w:val="20"/>
                <w:szCs w:val="20"/>
              </w:rPr>
              <w:t>小计</w:t>
            </w:r>
          </w:p>
        </w:tc>
        <w:tc>
          <w:tcPr>
            <w:tcW w:w="367" w:type="dxa"/>
            <w:vAlign w:val="center"/>
          </w:tcPr>
          <w:p w14:paraId="1FCFE076">
            <w:pPr>
              <w:spacing w:line="360" w:lineRule="auto"/>
              <w:jc w:val="center"/>
              <w:rPr>
                <w:rFonts w:eastAsia="方正仿宋_GBK"/>
                <w:sz w:val="20"/>
                <w:szCs w:val="20"/>
              </w:rPr>
            </w:pPr>
            <w:r>
              <w:rPr>
                <w:rFonts w:hint="eastAsia"/>
                <w:sz w:val="20"/>
                <w:szCs w:val="20"/>
              </w:rPr>
              <w:t>13</w:t>
            </w:r>
          </w:p>
        </w:tc>
        <w:tc>
          <w:tcPr>
            <w:tcW w:w="413" w:type="dxa"/>
            <w:vAlign w:val="center"/>
          </w:tcPr>
          <w:p w14:paraId="0E43639E">
            <w:pPr>
              <w:spacing w:line="360" w:lineRule="auto"/>
              <w:jc w:val="center"/>
              <w:rPr>
                <w:rFonts w:eastAsia="方正仿宋_GBK"/>
                <w:sz w:val="20"/>
                <w:szCs w:val="20"/>
              </w:rPr>
            </w:pPr>
            <w:r>
              <w:rPr>
                <w:rFonts w:hint="eastAsia"/>
                <w:sz w:val="20"/>
                <w:szCs w:val="20"/>
              </w:rPr>
              <w:t>21</w:t>
            </w:r>
          </w:p>
        </w:tc>
        <w:tc>
          <w:tcPr>
            <w:tcW w:w="529" w:type="dxa"/>
            <w:vAlign w:val="center"/>
          </w:tcPr>
          <w:p w14:paraId="5C8F9D0B">
            <w:pPr>
              <w:spacing w:line="360" w:lineRule="auto"/>
              <w:jc w:val="center"/>
              <w:rPr>
                <w:rFonts w:eastAsia="方正仿宋_GBK"/>
                <w:sz w:val="20"/>
                <w:szCs w:val="20"/>
              </w:rPr>
            </w:pPr>
            <w:r>
              <w:rPr>
                <w:rFonts w:hint="eastAsia"/>
                <w:sz w:val="20"/>
                <w:szCs w:val="20"/>
              </w:rPr>
              <w:t>208</w:t>
            </w:r>
          </w:p>
        </w:tc>
        <w:tc>
          <w:tcPr>
            <w:tcW w:w="368" w:type="dxa"/>
            <w:vAlign w:val="center"/>
          </w:tcPr>
          <w:p w14:paraId="6F5ADC0D">
            <w:pPr>
              <w:spacing w:line="360" w:lineRule="auto"/>
              <w:jc w:val="center"/>
              <w:rPr>
                <w:rFonts w:eastAsia="方正仿宋_GBK"/>
                <w:sz w:val="20"/>
                <w:szCs w:val="20"/>
              </w:rPr>
            </w:pPr>
            <w:r>
              <w:rPr>
                <w:rFonts w:hint="eastAsia"/>
                <w:sz w:val="20"/>
                <w:szCs w:val="20"/>
                <w:lang w:val="en-US" w:eastAsia="zh-CN"/>
              </w:rPr>
              <w:t>64</w:t>
            </w:r>
          </w:p>
        </w:tc>
        <w:tc>
          <w:tcPr>
            <w:tcW w:w="368" w:type="dxa"/>
            <w:vAlign w:val="center"/>
          </w:tcPr>
          <w:p w14:paraId="1C17C69F">
            <w:pPr>
              <w:spacing w:line="360" w:lineRule="auto"/>
              <w:jc w:val="center"/>
              <w:rPr>
                <w:rFonts w:eastAsia="方正仿宋_GBK"/>
                <w:sz w:val="20"/>
                <w:szCs w:val="20"/>
              </w:rPr>
            </w:pPr>
            <w:r>
              <w:rPr>
                <w:rFonts w:hint="eastAsia"/>
                <w:sz w:val="20"/>
                <w:szCs w:val="20"/>
                <w:lang w:val="en-US" w:eastAsia="zh-CN"/>
              </w:rPr>
              <w:t>28</w:t>
            </w:r>
          </w:p>
        </w:tc>
        <w:tc>
          <w:tcPr>
            <w:tcW w:w="420" w:type="dxa"/>
            <w:vAlign w:val="center"/>
          </w:tcPr>
          <w:p w14:paraId="64A2F588">
            <w:pPr>
              <w:spacing w:line="360" w:lineRule="auto"/>
              <w:jc w:val="center"/>
              <w:rPr>
                <w:rFonts w:eastAsia="方正仿宋_GBK"/>
                <w:sz w:val="20"/>
                <w:szCs w:val="20"/>
              </w:rPr>
            </w:pPr>
            <w:r>
              <w:rPr>
                <w:rFonts w:hint="eastAsia" w:eastAsia="方正仿宋_GBK"/>
                <w:sz w:val="20"/>
                <w:szCs w:val="20"/>
                <w:lang w:val="en-US" w:eastAsia="zh-CN"/>
              </w:rPr>
              <w:t>16</w:t>
            </w:r>
          </w:p>
        </w:tc>
        <w:tc>
          <w:tcPr>
            <w:tcW w:w="469" w:type="dxa"/>
            <w:vAlign w:val="center"/>
          </w:tcPr>
          <w:p w14:paraId="5381D375">
            <w:pPr>
              <w:spacing w:line="360" w:lineRule="auto"/>
              <w:jc w:val="center"/>
              <w:rPr>
                <w:rFonts w:eastAsia="方正仿宋_GBK"/>
                <w:sz w:val="20"/>
                <w:szCs w:val="20"/>
              </w:rPr>
            </w:pPr>
            <w:r>
              <w:rPr>
                <w:rFonts w:hint="eastAsia" w:eastAsia="方正仿宋_GBK"/>
                <w:sz w:val="20"/>
                <w:szCs w:val="20"/>
                <w:lang w:val="en-US" w:eastAsia="zh-CN"/>
              </w:rPr>
              <w:t>100</w:t>
            </w:r>
          </w:p>
        </w:tc>
        <w:tc>
          <w:tcPr>
            <w:tcW w:w="393" w:type="dxa"/>
            <w:vAlign w:val="center"/>
          </w:tcPr>
          <w:p w14:paraId="3450D255">
            <w:pPr>
              <w:spacing w:line="360" w:lineRule="auto"/>
              <w:jc w:val="center"/>
              <w:rPr>
                <w:sz w:val="20"/>
                <w:szCs w:val="20"/>
              </w:rPr>
            </w:pPr>
          </w:p>
        </w:tc>
        <w:tc>
          <w:tcPr>
            <w:tcW w:w="633" w:type="dxa"/>
            <w:vAlign w:val="center"/>
          </w:tcPr>
          <w:p w14:paraId="7B85027A">
            <w:pPr>
              <w:spacing w:line="360" w:lineRule="auto"/>
              <w:jc w:val="center"/>
              <w:rPr>
                <w:sz w:val="20"/>
                <w:szCs w:val="20"/>
              </w:rPr>
            </w:pPr>
          </w:p>
        </w:tc>
        <w:tc>
          <w:tcPr>
            <w:tcW w:w="588" w:type="dxa"/>
            <w:vAlign w:val="center"/>
          </w:tcPr>
          <w:p w14:paraId="241AB194">
            <w:pPr>
              <w:spacing w:line="360" w:lineRule="auto"/>
              <w:jc w:val="center"/>
              <w:rPr>
                <w:sz w:val="20"/>
                <w:szCs w:val="20"/>
              </w:rPr>
            </w:pPr>
          </w:p>
        </w:tc>
        <w:tc>
          <w:tcPr>
            <w:tcW w:w="1142" w:type="dxa"/>
            <w:vAlign w:val="center"/>
          </w:tcPr>
          <w:p w14:paraId="43833786">
            <w:pPr>
              <w:spacing w:line="360" w:lineRule="auto"/>
              <w:jc w:val="center"/>
              <w:rPr>
                <w:sz w:val="20"/>
                <w:szCs w:val="20"/>
              </w:rPr>
            </w:pPr>
          </w:p>
        </w:tc>
        <w:tc>
          <w:tcPr>
            <w:tcW w:w="1628" w:type="dxa"/>
            <w:vAlign w:val="center"/>
          </w:tcPr>
          <w:p w14:paraId="23349BB0">
            <w:pPr>
              <w:widowControl/>
              <w:spacing w:line="360" w:lineRule="auto"/>
              <w:jc w:val="center"/>
              <w:rPr>
                <w:sz w:val="20"/>
                <w:szCs w:val="20"/>
              </w:rPr>
            </w:pPr>
          </w:p>
        </w:tc>
      </w:tr>
    </w:tbl>
    <w:p w14:paraId="23CBFB9B">
      <w:pPr>
        <w:spacing w:line="165" w:lineRule="exact"/>
      </w:pPr>
    </w:p>
    <w:p w14:paraId="04023F38">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40" w:lineRule="exact"/>
        <w:ind w:left="0" w:right="0"/>
        <w:textAlignment w:val="baseline"/>
        <w:rPr>
          <w:rFonts w:hint="eastAsia" w:eastAsia="仿宋"/>
          <w:spacing w:val="4"/>
          <w:sz w:val="28"/>
          <w:szCs w:val="28"/>
          <w:lang w:val="en-US" w:eastAsia="zh-CN"/>
          <w14:textOutline w14:w="5791" w14:cap="flat" w14:cmpd="sng">
            <w14:solidFill>
              <w14:srgbClr w14:val="000000"/>
            </w14:solidFill>
            <w14:prstDash w14:val="solid"/>
            <w14:miter w14:val="0"/>
          </w14:textOutline>
        </w:rPr>
      </w:pPr>
      <w:r>
        <w:rPr>
          <w:rFonts w:hint="eastAsia"/>
          <w:spacing w:val="4"/>
          <w:sz w:val="28"/>
          <w:szCs w:val="28"/>
          <w:lang w:val="en-US" w:eastAsia="zh-CN"/>
          <w14:textOutline w14:w="5791" w14:cap="flat" w14:cmpd="sng">
            <w14:solidFill>
              <w14:srgbClr w14:val="000000"/>
            </w14:solidFill>
            <w14:prstDash w14:val="solid"/>
            <w14:miter w14:val="0"/>
          </w14:textOutline>
        </w:rPr>
        <w:t>九</w:t>
      </w:r>
      <w:r>
        <w:rPr>
          <w:spacing w:val="4"/>
          <w:sz w:val="28"/>
          <w:szCs w:val="28"/>
          <w14:textOutline w14:w="5791" w14:cap="flat" w14:cmpd="sng">
            <w14:solidFill>
              <w14:srgbClr w14:val="000000"/>
            </w14:solidFill>
            <w14:prstDash w14:val="solid"/>
            <w14:miter w14:val="0"/>
          </w14:textOutline>
        </w:rPr>
        <w:t>、课程</w:t>
      </w:r>
      <w:r>
        <w:rPr>
          <w:rFonts w:hint="eastAsia"/>
          <w:spacing w:val="4"/>
          <w:sz w:val="28"/>
          <w:szCs w:val="28"/>
          <w:lang w:val="en-US" w:eastAsia="zh-CN"/>
          <w14:textOutline w14:w="5791" w14:cap="flat" w14:cmpd="sng">
            <w14:solidFill>
              <w14:srgbClr w14:val="000000"/>
            </w14:solidFill>
            <w14:prstDash w14:val="solid"/>
            <w14:miter w14:val="0"/>
          </w14:textOutline>
        </w:rPr>
        <w:t>介绍</w:t>
      </w:r>
    </w:p>
    <w:p w14:paraId="402D6050">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spacing w:val="9"/>
          <w:sz w:val="24"/>
          <w:szCs w:val="24"/>
          <w:highlight w:val="none"/>
        </w:rPr>
      </w:pPr>
      <w:r>
        <w:rPr>
          <w:rFonts w:hint="eastAsia"/>
          <w:b/>
          <w:bCs/>
          <w:spacing w:val="9"/>
          <w:sz w:val="24"/>
          <w:szCs w:val="24"/>
          <w:highlight w:val="none"/>
          <w:lang w:val="en-US" w:eastAsia="zh-CN"/>
        </w:rPr>
        <w:t>（一）算法设计与分析</w:t>
      </w:r>
    </w:p>
    <w:p w14:paraId="64E42ED1">
      <w:pPr>
        <w:pStyle w:val="2"/>
        <w:spacing w:line="440" w:lineRule="exact"/>
        <w:ind w:firstLine="646"/>
        <w:jc w:val="both"/>
        <w:rPr>
          <w:spacing w:val="9"/>
          <w:sz w:val="24"/>
          <w:szCs w:val="24"/>
          <w:lang w:eastAsia="zh-CN"/>
        </w:rPr>
      </w:pPr>
      <w:r>
        <w:rPr>
          <w:rFonts w:hint="eastAsia"/>
          <w:spacing w:val="9"/>
          <w:sz w:val="24"/>
          <w:szCs w:val="24"/>
          <w:lang w:eastAsia="zh-CN"/>
        </w:rPr>
        <w:t>《算法设计与分析》在数据结构课程的基础上，进一步剖析各类主要算法的问题描述、主要思想、基本原理和应用场景，使得学生不仅能掌握当前主要算法技术的工作原理，而且能理解该算法产生的背景和设计理念，使其能灵活运用这些技术，结合实际情况设计合适的算法解决问题。</w:t>
      </w:r>
    </w:p>
    <w:p w14:paraId="541D1380">
      <w:pPr>
        <w:pStyle w:val="2"/>
        <w:spacing w:line="440" w:lineRule="exact"/>
        <w:ind w:firstLine="646"/>
        <w:jc w:val="both"/>
        <w:rPr>
          <w:spacing w:val="9"/>
          <w:sz w:val="24"/>
          <w:szCs w:val="24"/>
          <w:lang w:eastAsia="zh-CN"/>
        </w:rPr>
      </w:pPr>
      <w:r>
        <w:rPr>
          <w:rFonts w:hint="eastAsia"/>
          <w:spacing w:val="9"/>
          <w:sz w:val="24"/>
          <w:szCs w:val="24"/>
          <w:lang w:eastAsia="zh-CN"/>
        </w:rPr>
        <w:t>1</w:t>
      </w:r>
      <w:r>
        <w:rPr>
          <w:spacing w:val="9"/>
          <w:sz w:val="24"/>
          <w:szCs w:val="24"/>
          <w:lang w:eastAsia="zh-CN"/>
        </w:rPr>
        <w:t>.</w:t>
      </w:r>
      <w:r>
        <w:rPr>
          <w:rFonts w:hint="eastAsia"/>
          <w:spacing w:val="9"/>
          <w:sz w:val="24"/>
          <w:szCs w:val="24"/>
          <w:lang w:eastAsia="zh-CN"/>
        </w:rPr>
        <w:t>课程学习内容</w:t>
      </w:r>
    </w:p>
    <w:p w14:paraId="7BEF1EC7">
      <w:pPr>
        <w:pStyle w:val="2"/>
        <w:spacing w:line="440" w:lineRule="exact"/>
        <w:ind w:firstLine="646"/>
        <w:jc w:val="both"/>
        <w:rPr>
          <w:spacing w:val="9"/>
          <w:sz w:val="24"/>
          <w:szCs w:val="24"/>
          <w:lang w:eastAsia="zh-CN"/>
        </w:rPr>
      </w:pPr>
      <w:r>
        <w:rPr>
          <w:rFonts w:hint="eastAsia"/>
          <w:spacing w:val="9"/>
          <w:sz w:val="24"/>
          <w:szCs w:val="24"/>
          <w:lang w:eastAsia="zh-CN"/>
        </w:rPr>
        <w:t>（1）算法基础知识：数据结构与算法的基本概念，算法的时间复杂度与空间复杂度分析，常见的算法分析方法。</w:t>
      </w:r>
    </w:p>
    <w:p w14:paraId="2355766F">
      <w:pPr>
        <w:pStyle w:val="2"/>
        <w:spacing w:line="440" w:lineRule="exact"/>
        <w:ind w:firstLine="646"/>
        <w:jc w:val="both"/>
        <w:rPr>
          <w:spacing w:val="9"/>
          <w:sz w:val="24"/>
          <w:szCs w:val="24"/>
          <w:lang w:eastAsia="zh-CN"/>
        </w:rPr>
      </w:pPr>
      <w:r>
        <w:rPr>
          <w:rFonts w:hint="eastAsia"/>
          <w:spacing w:val="9"/>
          <w:sz w:val="24"/>
          <w:szCs w:val="24"/>
          <w:lang w:eastAsia="zh-CN"/>
        </w:rPr>
        <w:t>（2）基本算法与数据结构：线性表、栈、队列等基本数据结构，排序算法（冒泡排序、选择排序、插入排序、归并排序、快速排序等），查找算法（顺序查找、二分查找等）。</w:t>
      </w:r>
    </w:p>
    <w:p w14:paraId="7474AB0D">
      <w:pPr>
        <w:pStyle w:val="2"/>
        <w:spacing w:line="440" w:lineRule="exact"/>
        <w:ind w:firstLine="646"/>
        <w:jc w:val="both"/>
        <w:rPr>
          <w:spacing w:val="9"/>
          <w:sz w:val="24"/>
          <w:szCs w:val="24"/>
          <w:lang w:eastAsia="zh-CN"/>
        </w:rPr>
      </w:pPr>
      <w:r>
        <w:rPr>
          <w:rFonts w:hint="eastAsia"/>
          <w:spacing w:val="9"/>
          <w:sz w:val="24"/>
          <w:szCs w:val="24"/>
          <w:lang w:eastAsia="zh-CN"/>
        </w:rPr>
        <w:t>（3）图论算法：图的表示与遍历（深度优先搜索、广度优先搜索），最短路径算法（Dijkstra算法、Floyd算法、Bellman-Ford算法），最小生成树算法（Prim算法、Kruskal算法），网络流算法（最大流、最小割等）。</w:t>
      </w:r>
    </w:p>
    <w:p w14:paraId="3B2EB693">
      <w:pPr>
        <w:pStyle w:val="2"/>
        <w:spacing w:line="440" w:lineRule="exact"/>
        <w:ind w:firstLine="646"/>
        <w:jc w:val="both"/>
        <w:rPr>
          <w:spacing w:val="9"/>
          <w:sz w:val="24"/>
          <w:szCs w:val="24"/>
          <w:lang w:eastAsia="zh-CN"/>
        </w:rPr>
      </w:pPr>
      <w:r>
        <w:rPr>
          <w:rFonts w:hint="eastAsia"/>
          <w:spacing w:val="9"/>
          <w:sz w:val="24"/>
          <w:szCs w:val="24"/>
          <w:lang w:eastAsia="zh-CN"/>
        </w:rPr>
        <w:t>（4）动态规划：动态规划的基本概念与原理，线性动态规划问题，背包问题、最长公共子序列等经典动态规划问题。</w:t>
      </w:r>
    </w:p>
    <w:p w14:paraId="7373A4EE">
      <w:pPr>
        <w:pStyle w:val="2"/>
        <w:spacing w:line="440" w:lineRule="exact"/>
        <w:ind w:firstLine="646"/>
        <w:jc w:val="both"/>
        <w:rPr>
          <w:spacing w:val="9"/>
          <w:sz w:val="24"/>
          <w:szCs w:val="24"/>
          <w:lang w:eastAsia="zh-CN"/>
        </w:rPr>
      </w:pPr>
      <w:r>
        <w:rPr>
          <w:rFonts w:hint="eastAsia"/>
          <w:spacing w:val="9"/>
          <w:sz w:val="24"/>
          <w:szCs w:val="24"/>
          <w:lang w:eastAsia="zh-CN"/>
        </w:rPr>
        <w:t>（5）高级算法：分治法、贪心算法、回溯法等常用算法策略，字符串算法（KMP算法、后缀数组等），计算几何算法（凸包、最近点对等）。</w:t>
      </w:r>
    </w:p>
    <w:p w14:paraId="23A08081">
      <w:pPr>
        <w:pStyle w:val="2"/>
        <w:spacing w:line="440" w:lineRule="exact"/>
        <w:ind w:firstLine="646"/>
        <w:jc w:val="both"/>
        <w:rPr>
          <w:spacing w:val="9"/>
          <w:sz w:val="24"/>
          <w:szCs w:val="24"/>
          <w:lang w:eastAsia="zh-CN"/>
        </w:rPr>
      </w:pPr>
      <w:r>
        <w:rPr>
          <w:rFonts w:hint="eastAsia"/>
          <w:spacing w:val="9"/>
          <w:sz w:val="24"/>
          <w:szCs w:val="24"/>
          <w:lang w:eastAsia="zh-CN"/>
        </w:rPr>
        <w:t>（6）编程技能提升：编程规范与代码优化，调试技巧与错误处理，算法竞赛中的常用技巧与策略。</w:t>
      </w:r>
    </w:p>
    <w:p w14:paraId="17772F5D">
      <w:pPr>
        <w:pStyle w:val="2"/>
        <w:spacing w:line="440" w:lineRule="exact"/>
        <w:ind w:firstLine="646"/>
        <w:jc w:val="both"/>
        <w:rPr>
          <w:spacing w:val="9"/>
          <w:sz w:val="24"/>
          <w:szCs w:val="24"/>
          <w:lang w:eastAsia="zh-CN"/>
        </w:rPr>
      </w:pPr>
      <w:r>
        <w:rPr>
          <w:rFonts w:hint="eastAsia"/>
          <w:spacing w:val="9"/>
          <w:sz w:val="24"/>
          <w:szCs w:val="24"/>
          <w:lang w:eastAsia="zh-CN"/>
        </w:rPr>
        <w:t>2</w:t>
      </w:r>
      <w:r>
        <w:rPr>
          <w:spacing w:val="9"/>
          <w:sz w:val="24"/>
          <w:szCs w:val="24"/>
          <w:lang w:eastAsia="zh-CN"/>
        </w:rPr>
        <w:t>.</w:t>
      </w:r>
      <w:r>
        <w:rPr>
          <w:rFonts w:hint="eastAsia"/>
          <w:spacing w:val="9"/>
          <w:sz w:val="24"/>
          <w:szCs w:val="24"/>
          <w:lang w:eastAsia="zh-CN"/>
        </w:rPr>
        <w:t>课程目标与价值</w:t>
      </w:r>
    </w:p>
    <w:p w14:paraId="6C69395A">
      <w:pPr>
        <w:pStyle w:val="2"/>
        <w:spacing w:line="440" w:lineRule="exact"/>
        <w:ind w:firstLine="646"/>
        <w:jc w:val="both"/>
        <w:rPr>
          <w:spacing w:val="9"/>
          <w:sz w:val="24"/>
          <w:szCs w:val="24"/>
          <w:lang w:eastAsia="zh-CN"/>
        </w:rPr>
      </w:pPr>
      <w:r>
        <w:rPr>
          <w:rFonts w:hint="eastAsia"/>
          <w:spacing w:val="9"/>
          <w:sz w:val="24"/>
          <w:szCs w:val="24"/>
          <w:lang w:eastAsia="zh-CN"/>
        </w:rPr>
        <w:t>（1）紧跟科研前沿，保持课程内容的先进性，算法是计算机的灵魂，在当前计算机的体系结构下，新技术的出现往往有新算法的支撑。本课程在组织好算法课程基本内容的前提下，结合科学研究、算法竞赛和当前计算机领域有重要价值的新成果，将其融合到算法教学中。通过前沿技术的引入，激发学生的学习兴趣，引导学生的科学研究，为其进一步深造打下基础。</w:t>
      </w:r>
    </w:p>
    <w:p w14:paraId="15BAA055">
      <w:pPr>
        <w:pStyle w:val="2"/>
        <w:spacing w:line="440" w:lineRule="exact"/>
        <w:ind w:firstLine="646"/>
        <w:jc w:val="both"/>
        <w:rPr>
          <w:spacing w:val="9"/>
          <w:sz w:val="24"/>
          <w:szCs w:val="24"/>
          <w:lang w:eastAsia="zh-CN"/>
        </w:rPr>
      </w:pPr>
      <w:r>
        <w:rPr>
          <w:rFonts w:hint="eastAsia"/>
          <w:spacing w:val="9"/>
          <w:sz w:val="24"/>
          <w:szCs w:val="24"/>
          <w:lang w:eastAsia="zh-CN"/>
        </w:rPr>
        <w:t>（2）优化教学平台，增强课程实践环节，本课程涉及较多的理论知识和方法论，然而又同实际计算机系统有着紧密的联系。本课程教学组研发算法设计分析教学平台，学生可以通过这个教学平台运行其设计的算法，并获得详细的算法分析数据，加深其认识。</w:t>
      </w:r>
    </w:p>
    <w:p w14:paraId="6EBA904C">
      <w:pPr>
        <w:pStyle w:val="2"/>
        <w:spacing w:line="440" w:lineRule="exact"/>
        <w:ind w:firstLine="646"/>
        <w:jc w:val="both"/>
        <w:rPr>
          <w:spacing w:val="9"/>
          <w:sz w:val="24"/>
          <w:szCs w:val="24"/>
          <w:lang w:eastAsia="zh-CN"/>
        </w:rPr>
      </w:pPr>
      <w:r>
        <w:rPr>
          <w:rFonts w:hint="eastAsia"/>
          <w:spacing w:val="9"/>
          <w:sz w:val="24"/>
          <w:szCs w:val="24"/>
          <w:lang w:eastAsia="zh-CN"/>
        </w:rPr>
        <w:t>（3）积极组织、参加各级各类比赛，积极组织课程日常训练和校级算法竞赛，组织学生参加国家级、省级各类算法竞赛。通过日程训练，帮助学生熟悉各种题型和解题思路，提高解题速度和准确率。通过组织和参加各级各类比赛，检验学生算法学习水平，发现不足，通过比赛不断提高学生算法设计能力和水平。</w:t>
      </w:r>
    </w:p>
    <w:p w14:paraId="2556C152">
      <w:pPr>
        <w:pStyle w:val="2"/>
        <w:spacing w:line="440" w:lineRule="exact"/>
        <w:ind w:firstLine="646"/>
        <w:jc w:val="both"/>
        <w:rPr>
          <w:spacing w:val="9"/>
          <w:sz w:val="24"/>
          <w:szCs w:val="24"/>
          <w:highlight w:val="yellow"/>
        </w:rPr>
      </w:pPr>
      <w:r>
        <w:rPr>
          <w:rFonts w:hint="eastAsia"/>
          <w:spacing w:val="9"/>
          <w:sz w:val="24"/>
          <w:szCs w:val="24"/>
          <w:lang w:eastAsia="zh-CN"/>
        </w:rPr>
        <w:t>《算法设计与分析》</w:t>
      </w:r>
      <w:r>
        <w:rPr>
          <w:rFonts w:hint="eastAsia"/>
          <w:spacing w:val="9"/>
          <w:sz w:val="24"/>
          <w:szCs w:val="24"/>
          <w:lang w:val="en-US" w:eastAsia="zh-CN"/>
        </w:rPr>
        <w:t>课程</w:t>
      </w:r>
      <w:r>
        <w:rPr>
          <w:rFonts w:hint="eastAsia"/>
          <w:spacing w:val="9"/>
          <w:sz w:val="24"/>
          <w:szCs w:val="24"/>
          <w:lang w:eastAsia="zh-CN"/>
        </w:rPr>
        <w:t>以算法设计和算法分析作为主线，通过讲授基本算法技能，总结、归纳算法设计策略，并系统介绍算法分析技能，强化算法的性能指标，引导学生设计高效的算法解决实际问题</w:t>
      </w:r>
      <w:r>
        <w:rPr>
          <w:rFonts w:hint="eastAsia"/>
          <w:spacing w:val="9"/>
          <w:sz w:val="24"/>
          <w:szCs w:val="24"/>
          <w:highlight w:val="none"/>
          <w:lang w:val="en-US" w:eastAsia="zh-CN"/>
        </w:rPr>
        <w:t>。</w:t>
      </w:r>
    </w:p>
    <w:p w14:paraId="6CB7CD65">
      <w:pPr>
        <w:pStyle w:val="2"/>
        <w:keepNext w:val="0"/>
        <w:keepLines w:val="0"/>
        <w:pageBreakBefore w:val="0"/>
        <w:widowControl/>
        <w:tabs>
          <w:tab w:val="left" w:pos="566"/>
        </w:tabs>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b/>
          <w:bCs/>
          <w:spacing w:val="9"/>
          <w:sz w:val="24"/>
          <w:szCs w:val="24"/>
        </w:rPr>
      </w:pPr>
      <w:r>
        <w:rPr>
          <w:rFonts w:hint="eastAsia"/>
          <w:b/>
          <w:bCs/>
          <w:spacing w:val="9"/>
          <w:sz w:val="24"/>
          <w:szCs w:val="24"/>
          <w:lang w:val="en-US" w:eastAsia="zh-CN"/>
        </w:rPr>
        <w:t>（二）全栈开发技术</w:t>
      </w:r>
    </w:p>
    <w:p w14:paraId="2BBCB65E">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全栈开发技术》是一门旨在培养学生全面掌握软件开发全链条技能的专业课程，聚焦于从网页前端到后端服务，再到具体项目应用的全方位开发能力训练。课程内容精心设计，涵盖Web开发基础、主流前端框架、跨平台应用开发框架、后端开发技术，以及实际工程案例，旨在培养学生成为具备全栈视角与实战能力的软件开发者。</w:t>
      </w:r>
    </w:p>
    <w:p w14:paraId="1ED0E020">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1.课程学习内容</w:t>
      </w:r>
    </w:p>
    <w:p w14:paraId="3B7AB2C3">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（1）Web开发基本技术：深入讲解HTML、CSS与JavaScript，使学生掌握网页结构构建、样式设计与动态交互编程的基础知识，奠定坚实的前端开发基础。</w:t>
      </w:r>
    </w:p>
    <w:p w14:paraId="49E8CCFD">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（2）前端框架技术：深入探讨Vue.js前端开发框架，学习其组件化思想、响应式数据绑定、路由管理等核心特性，引导学生高效构建现代化、高性能的单页应用。</w:t>
      </w:r>
    </w:p>
    <w:p w14:paraId="3186FCA8">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（3）跨平台应用开发：学习uniapp框架及相关UI框架，通过利用其跨iOS、Android、Web、小程序等多端开发能力，使学生能够运用一套代码实现跨平台应用的快速开发与部署，提升开发效率与市场适应性。</w:t>
      </w:r>
    </w:p>
    <w:p w14:paraId="047478EB">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（4）后端开发技术：系统讲授Spring Boot框架，包括Springboot概述、数据持久化、SpringMVC、前后端交互、安全框架等关键技术，为学生构建企业级后端服务提供坚实支撑。</w:t>
      </w:r>
    </w:p>
    <w:p w14:paraId="3CCE512C">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5）智能仓储系统开发工程案例：通过剖析智能仓储系统的完整开发过程，让学生在理论学习基础上参与实际项目演练，涵盖需求分析、系统设计、数据库设计与管理、前后端协同开发、测试与部署等环节，全方位体验全栈开发的实际应用场景，提升工程实践能力与问题解决能力。</w:t>
      </w:r>
    </w:p>
    <w:p w14:paraId="66E2F5B2">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2.课程目标与价值</w:t>
      </w:r>
    </w:p>
    <w:p w14:paraId="34233A42">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（1）知识体系构建：帮助学生系统掌握全栈开发所涉及的各项核心技术，从Web基础到前沿框架，从后端服务到跨平台应用，构建全面的全栈开发知识体系。</w:t>
      </w:r>
    </w:p>
    <w:p w14:paraId="4247A4B3">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（2）实战能力培养：通过智能仓储系统等实际工程案例的深度剖析与实践操作，提升学生将理论知识转化为实际项目解决方案的能力，培养其面对复杂软件开发任务的独立思考与团队协作能力。</w:t>
      </w:r>
    </w:p>
    <w:p w14:paraId="0435003F">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（3）行业适应力提升：紧跟行业发展趋势，讲解当下主流开发框架与技术栈，确保学生所学与市场需求紧密接轨，增强其在就业市场的竞争力。</w:t>
      </w:r>
    </w:p>
    <w:p w14:paraId="31A3CDB1">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（4）创新思维启发：鼓励学生在项目实践中探索新技术应用、优化开发流程，培养创新思维与持续学习的习惯，为未来应对技术快速迭代与行业变革做好准备。</w:t>
      </w:r>
    </w:p>
    <w:p w14:paraId="04AD1288">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lang w:val="en-US" w:eastAsia="zh-CN"/>
        </w:rPr>
      </w:pPr>
      <w:r>
        <w:rPr>
          <w:rFonts w:hint="eastAsia"/>
          <w:spacing w:val="9"/>
          <w:sz w:val="24"/>
          <w:szCs w:val="24"/>
          <w:lang w:val="en-US" w:eastAsia="zh-CN"/>
        </w:rPr>
        <w:t>《全栈开发技术》课程致力于为学生提供一个系统、全面且贴近业界的全栈开发学习环境，通过理论与实践的深度融合，培养既具备扎实技术功底又富有创新精神的全栈软件开发人才。</w:t>
      </w:r>
    </w:p>
    <w:p w14:paraId="0110E893">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b/>
          <w:bCs/>
          <w:spacing w:val="9"/>
          <w:sz w:val="24"/>
          <w:szCs w:val="24"/>
          <w:highlight w:val="none"/>
        </w:rPr>
      </w:pPr>
      <w:r>
        <w:rPr>
          <w:rFonts w:hint="eastAsia"/>
          <w:b/>
          <w:bCs/>
          <w:spacing w:val="9"/>
          <w:sz w:val="24"/>
          <w:szCs w:val="24"/>
          <w:highlight w:val="none"/>
          <w:lang w:eastAsia="zh-CN"/>
        </w:rPr>
        <w:t>（</w:t>
      </w:r>
      <w:r>
        <w:rPr>
          <w:rFonts w:hint="eastAsia"/>
          <w:b/>
          <w:bCs/>
          <w:spacing w:val="9"/>
          <w:sz w:val="24"/>
          <w:szCs w:val="24"/>
          <w:highlight w:val="none"/>
          <w:lang w:val="en-US" w:eastAsia="zh-CN"/>
        </w:rPr>
        <w:t>三）智能机器人与控制系统</w:t>
      </w:r>
    </w:p>
    <w:p w14:paraId="46E33621">
      <w:pPr>
        <w:pStyle w:val="2"/>
        <w:spacing w:line="440" w:lineRule="exact"/>
        <w:ind w:firstLine="646"/>
        <w:jc w:val="both"/>
        <w:rPr>
          <w:rFonts w:hint="eastAsia"/>
          <w:spacing w:val="9"/>
          <w:sz w:val="24"/>
          <w:szCs w:val="24"/>
          <w:lang w:eastAsia="zh-CN"/>
        </w:rPr>
      </w:pPr>
      <w:r>
        <w:rPr>
          <w:rFonts w:hint="eastAsia"/>
          <w:spacing w:val="9"/>
          <w:sz w:val="24"/>
          <w:szCs w:val="24"/>
          <w:lang w:eastAsia="zh-CN"/>
        </w:rPr>
        <w:t>《智能机器人与控制系统》是一门旨在培养学生掌握现代智能制造核心执行单元——工业机器人及移动机器人（AGV）系统集成与控制技能的专业课程。课程聚焦于从单机器人精准操作到多智能体协同调度的全方位能力训练，依托叉车AGV、辊筒AGV、机械臂及复合机器人等实体设备构成的产线级教学环境，内容涵盖机器人学基础、运动控制、视觉引导、多机调度与系统集成等关键技术。通过贯穿课程的真实物料流转项目实践，旨在培养学生成为具备机器人系统部署、调试、编程及产线集成能力的智能制造解决方案开发者。</w:t>
      </w:r>
    </w:p>
    <w:p w14:paraId="0EF2FC91">
      <w:pPr>
        <w:pStyle w:val="2"/>
        <w:spacing w:line="440" w:lineRule="exact"/>
        <w:ind w:firstLine="646"/>
        <w:jc w:val="both"/>
        <w:rPr>
          <w:rFonts w:hint="eastAsia"/>
          <w:spacing w:val="9"/>
          <w:sz w:val="24"/>
          <w:szCs w:val="24"/>
          <w:lang w:eastAsia="zh-CN"/>
        </w:rPr>
      </w:pPr>
      <w:r>
        <w:rPr>
          <w:rFonts w:hint="eastAsia"/>
          <w:spacing w:val="9"/>
          <w:sz w:val="24"/>
          <w:szCs w:val="24"/>
          <w:lang w:eastAsia="zh-CN"/>
        </w:rPr>
        <w:t>1. 课程学习内容</w:t>
      </w:r>
    </w:p>
    <w:p w14:paraId="1BB5EAA4">
      <w:pPr>
        <w:pStyle w:val="2"/>
        <w:spacing w:line="440" w:lineRule="exact"/>
        <w:ind w:firstLine="646"/>
        <w:jc w:val="both"/>
        <w:rPr>
          <w:rFonts w:hint="eastAsia"/>
          <w:spacing w:val="9"/>
          <w:sz w:val="24"/>
          <w:szCs w:val="24"/>
          <w:lang w:eastAsia="zh-CN"/>
        </w:rPr>
      </w:pPr>
      <w:r>
        <w:rPr>
          <w:rFonts w:hint="eastAsia"/>
          <w:spacing w:val="9"/>
          <w:sz w:val="24"/>
          <w:szCs w:val="24"/>
          <w:lang w:eastAsia="zh-CN"/>
        </w:rPr>
        <w:t>（1）机器人学与单设备基础操控：深入讲解机器人运动学、坐标系标定与驱动原理，使学生掌握机械臂、叉车AGV、辊筒AGV等设备的手动操纵、程序示教与基础I/O通信，奠定机器人应用的实操基础。</w:t>
      </w:r>
    </w:p>
    <w:p w14:paraId="1A2628B0">
      <w:pPr>
        <w:pStyle w:val="2"/>
        <w:spacing w:line="440" w:lineRule="exact"/>
        <w:ind w:firstLine="646"/>
        <w:jc w:val="both"/>
        <w:rPr>
          <w:rFonts w:hint="eastAsia"/>
          <w:spacing w:val="9"/>
          <w:sz w:val="24"/>
          <w:szCs w:val="24"/>
          <w:lang w:eastAsia="zh-CN"/>
        </w:rPr>
      </w:pPr>
      <w:r>
        <w:rPr>
          <w:rFonts w:hint="eastAsia"/>
          <w:spacing w:val="9"/>
          <w:sz w:val="24"/>
          <w:szCs w:val="24"/>
          <w:lang w:eastAsia="zh-CN"/>
        </w:rPr>
        <w:t>（2）机器人运动规划与任务编程：系统学习机器人轨迹规划、导航路径编辑及专用作业指令开发。引导学生为机械臂编写上下料、装配等工艺程序，为各类AGV设计取货、卸货、对接产线等任务逻辑，实现单设备的自动化运行。</w:t>
      </w:r>
    </w:p>
    <w:p w14:paraId="68307AF7">
      <w:pPr>
        <w:pStyle w:val="2"/>
        <w:spacing w:line="440" w:lineRule="exact"/>
        <w:ind w:firstLine="646"/>
        <w:jc w:val="both"/>
        <w:rPr>
          <w:rFonts w:hint="eastAsia"/>
          <w:spacing w:val="9"/>
          <w:sz w:val="24"/>
          <w:szCs w:val="24"/>
          <w:lang w:eastAsia="zh-CN"/>
        </w:rPr>
      </w:pPr>
      <w:r>
        <w:rPr>
          <w:rFonts w:hint="eastAsia"/>
          <w:spacing w:val="9"/>
          <w:sz w:val="24"/>
          <w:szCs w:val="24"/>
          <w:lang w:eastAsia="zh-CN"/>
        </w:rPr>
        <w:t>（3）机器视觉引导与协同控制：探讨机器人视觉伺服系统的实现，重点学习手眼标定技术，以及机器人如何接收视觉系统的定位结果，完成对动态或随机位姿工件的精准抓取与装配，实现感知与执行的闭环。</w:t>
      </w:r>
    </w:p>
    <w:p w14:paraId="2C0F59DA">
      <w:pPr>
        <w:pStyle w:val="2"/>
        <w:spacing w:line="440" w:lineRule="exact"/>
        <w:ind w:firstLine="646"/>
        <w:jc w:val="both"/>
        <w:rPr>
          <w:rFonts w:hint="eastAsia"/>
          <w:spacing w:val="9"/>
          <w:sz w:val="24"/>
          <w:szCs w:val="24"/>
          <w:lang w:eastAsia="zh-CN"/>
        </w:rPr>
      </w:pPr>
      <w:r>
        <w:rPr>
          <w:rFonts w:hint="eastAsia"/>
          <w:spacing w:val="9"/>
          <w:sz w:val="24"/>
          <w:szCs w:val="24"/>
          <w:lang w:eastAsia="zh-CN"/>
        </w:rPr>
        <w:t>（4）多机器人调度与系统集成：讲授基于集中调度服务器的多智能体协同控制架构。学习任务分配、交通管制、路径规划等核心算法在产线中的实际应用，并掌握通过工业通信协议（如ROS、HTTP API）实现机器人与调度系统、上位监控平台间的数据交互。</w:t>
      </w:r>
    </w:p>
    <w:p w14:paraId="6226AFB9">
      <w:pPr>
        <w:pStyle w:val="2"/>
        <w:spacing w:line="440" w:lineRule="exact"/>
        <w:ind w:firstLine="646"/>
        <w:jc w:val="both"/>
        <w:rPr>
          <w:rFonts w:hint="eastAsia"/>
          <w:spacing w:val="9"/>
          <w:sz w:val="24"/>
          <w:szCs w:val="24"/>
          <w:lang w:eastAsia="zh-CN"/>
        </w:rPr>
      </w:pPr>
      <w:r>
        <w:rPr>
          <w:rFonts w:hint="eastAsia"/>
          <w:spacing w:val="9"/>
          <w:sz w:val="24"/>
          <w:szCs w:val="24"/>
          <w:lang w:eastAsia="zh-CN"/>
        </w:rPr>
        <w:t>（5）智能产线物料流转综合案例：通过设计与实现一个由多种机器人共同组建的微型智能产线（涵盖上料、搬运、加工模拟、下料等环节），让学生在真实环境中进行全流程项目演练。涵盖系统架构设计、设备协同编程、调度逻辑开发、联调优化及数据监控，全方位体验工业机器人系统集成的实际场景，提升解决复杂工程问题的能力。</w:t>
      </w:r>
    </w:p>
    <w:p w14:paraId="139A4934">
      <w:pPr>
        <w:pStyle w:val="2"/>
        <w:spacing w:line="440" w:lineRule="exact"/>
        <w:ind w:firstLine="646"/>
        <w:jc w:val="both"/>
        <w:rPr>
          <w:rFonts w:hint="eastAsia"/>
          <w:spacing w:val="9"/>
          <w:sz w:val="24"/>
          <w:szCs w:val="24"/>
          <w:lang w:eastAsia="zh-CN"/>
        </w:rPr>
      </w:pPr>
      <w:r>
        <w:rPr>
          <w:rFonts w:hint="eastAsia"/>
          <w:spacing w:val="9"/>
          <w:sz w:val="24"/>
          <w:szCs w:val="24"/>
          <w:lang w:eastAsia="zh-CN"/>
        </w:rPr>
        <w:t>2. 课程目标与价值</w:t>
      </w:r>
    </w:p>
    <w:p w14:paraId="306C20FF">
      <w:pPr>
        <w:pStyle w:val="2"/>
        <w:spacing w:line="440" w:lineRule="exact"/>
        <w:ind w:firstLine="646"/>
        <w:jc w:val="both"/>
        <w:rPr>
          <w:rFonts w:hint="eastAsia"/>
          <w:spacing w:val="9"/>
          <w:sz w:val="24"/>
          <w:szCs w:val="24"/>
          <w:lang w:eastAsia="zh-CN"/>
        </w:rPr>
      </w:pPr>
      <w:r>
        <w:rPr>
          <w:rFonts w:hint="eastAsia"/>
          <w:spacing w:val="9"/>
          <w:sz w:val="24"/>
          <w:szCs w:val="24"/>
          <w:lang w:eastAsia="zh-CN"/>
        </w:rPr>
        <w:t>（1）知识体系构建：帮助学生构建从机器人底层运动控制到上层多机调度管理的完整知识框架，理解各类机器人在柔性产线中的角色、通信与协同机制，形成系统化的机器人应用知识体系。</w:t>
      </w:r>
    </w:p>
    <w:p w14:paraId="11D60672">
      <w:pPr>
        <w:pStyle w:val="2"/>
        <w:spacing w:line="440" w:lineRule="exact"/>
        <w:ind w:firstLine="646"/>
        <w:jc w:val="both"/>
        <w:rPr>
          <w:rFonts w:hint="eastAsia"/>
          <w:spacing w:val="9"/>
          <w:sz w:val="24"/>
          <w:szCs w:val="24"/>
          <w:lang w:eastAsia="zh-CN"/>
        </w:rPr>
      </w:pPr>
      <w:r>
        <w:rPr>
          <w:rFonts w:hint="eastAsia"/>
          <w:spacing w:val="9"/>
          <w:sz w:val="24"/>
          <w:szCs w:val="24"/>
          <w:lang w:eastAsia="zh-CN"/>
        </w:rPr>
        <w:t>（2）实战能力培养：通过在高仿真的工业级设备上进行部署、编程、调试和集成，使学生获得宝贵的现场工程实践经验，培养其将控制理论、算法逻辑转化为稳定、可靠物理执行的能力，以及团队协作解决技术难题的素养。</w:t>
      </w:r>
    </w:p>
    <w:p w14:paraId="614AB148">
      <w:pPr>
        <w:pStyle w:val="2"/>
        <w:spacing w:line="440" w:lineRule="exact"/>
        <w:ind w:firstLine="646"/>
        <w:jc w:val="both"/>
        <w:rPr>
          <w:rFonts w:hint="eastAsia"/>
          <w:spacing w:val="9"/>
          <w:sz w:val="24"/>
          <w:szCs w:val="24"/>
          <w:lang w:eastAsia="zh-CN"/>
        </w:rPr>
      </w:pPr>
      <w:r>
        <w:rPr>
          <w:rFonts w:hint="eastAsia"/>
          <w:spacing w:val="9"/>
          <w:sz w:val="24"/>
          <w:szCs w:val="24"/>
          <w:lang w:eastAsia="zh-CN"/>
        </w:rPr>
        <w:t>（3）行业适应力提升：课程内容直接对接智能仓储、柔性装配等场景中机器人系统集成工程师、现场应用工程师的核心职责，确保学生所学技能与智能制造产业前沿需求紧密接轨，显著增强在高端装备领域就业的竞争力。</w:t>
      </w:r>
    </w:p>
    <w:p w14:paraId="7BF8371C">
      <w:pPr>
        <w:pStyle w:val="2"/>
        <w:spacing w:line="440" w:lineRule="exact"/>
        <w:ind w:firstLine="646"/>
        <w:jc w:val="both"/>
        <w:rPr>
          <w:rFonts w:hint="eastAsia"/>
          <w:spacing w:val="9"/>
          <w:sz w:val="24"/>
          <w:szCs w:val="24"/>
          <w:lang w:eastAsia="zh-CN"/>
        </w:rPr>
      </w:pPr>
      <w:r>
        <w:rPr>
          <w:rFonts w:hint="eastAsia"/>
          <w:spacing w:val="9"/>
          <w:sz w:val="24"/>
          <w:szCs w:val="24"/>
          <w:lang w:eastAsia="zh-CN"/>
        </w:rPr>
        <w:t>（4）系统思维与创新启发：鼓励学生在综合案例中优化产线节拍、探索更高效的调度策略或人机协作模式，培养其从整个生产系统效率出发的全局优化思维，以及利用新技术解决传统制造瓶颈的创新意识。</w:t>
      </w:r>
    </w:p>
    <w:p w14:paraId="6FD046DF">
      <w:pPr>
        <w:pStyle w:val="2"/>
        <w:spacing w:line="440" w:lineRule="exact"/>
        <w:ind w:firstLine="646"/>
        <w:jc w:val="both"/>
        <w:rPr>
          <w:rFonts w:hint="default" w:eastAsia="仿宋"/>
          <w:spacing w:val="9"/>
          <w:sz w:val="24"/>
          <w:szCs w:val="24"/>
          <w:highlight w:val="none"/>
          <w:lang w:val="en-US" w:eastAsia="zh-CN"/>
        </w:rPr>
      </w:pPr>
      <w:r>
        <w:rPr>
          <w:rFonts w:hint="eastAsia"/>
          <w:spacing w:val="9"/>
          <w:sz w:val="24"/>
          <w:szCs w:val="24"/>
          <w:lang w:eastAsia="zh-CN"/>
        </w:rPr>
        <w:t>《智能机器人与控制系统》课程致力于为学生提供一个直面工业真实设备、聚焦系统集成应用的沉浸式学习环境。通过从单元到系统、从理论到实操的深度训练，培养既精通机器人控制“语言”，又擅长构建智能产线“协奏曲”的复合型工程技术人才。</w:t>
      </w:r>
    </w:p>
    <w:p w14:paraId="407DCBA7">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b/>
          <w:bCs/>
          <w:spacing w:val="9"/>
          <w:sz w:val="24"/>
          <w:szCs w:val="24"/>
          <w:highlight w:val="none"/>
          <w:lang w:val="en-US" w:eastAsia="zh-CN"/>
        </w:rPr>
      </w:pPr>
      <w:r>
        <w:rPr>
          <w:rFonts w:hint="eastAsia"/>
          <w:b/>
          <w:bCs/>
          <w:spacing w:val="9"/>
          <w:sz w:val="24"/>
          <w:szCs w:val="24"/>
          <w:highlight w:val="none"/>
          <w:lang w:val="en-US" w:eastAsia="zh-CN"/>
        </w:rPr>
        <w:t>（四）工业视觉检测系统与应用</w:t>
      </w:r>
    </w:p>
    <w:p w14:paraId="5F674E68">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工业视觉检测系统与应用》聚焦“缺陷、定位、测量”三大工业核心检测需求，构建从图像基础、传统算法到深度学习及前沿大模型应用的完整知识体系。内容涵盖工业图像预处理、模板匹配与特征提取等经典视觉算法，并重点深入讲解基于CNN、U-Net、YOLO的深度学习检测模型，以及应对小样本场景和迁移SAM等大模型的先进方法。通过贯穿课程的代码实践与手机屏幕、金属表面、PCB等真实工业案例的全流程演练，学生将深度掌握从算法选型、模型训练优化到性能验证的工程化能力。</w:t>
      </w:r>
    </w:p>
    <w:p w14:paraId="41CF5E5B">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1. 课程学习内容</w:t>
      </w:r>
    </w:p>
    <w:p w14:paraId="7DE187E9">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（1）工业视觉检测基础：解析工业检测的核心需求（缺陷/定位/测量）、典型场景（PCB/汽车/3C电子），讲解工业图像预处理技术（光照校正、去噪、图像对齐），奠定算法应用的图像基础。</w:t>
      </w:r>
    </w:p>
    <w:p w14:paraId="574C411B">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（2）传统工业视觉算法：系统讲授模板匹配（NCC）、特征匹配（ORB）、阈值分割（Otsu）、霍夫变换等经典算法，结合工业案例（螺丝缺失检测、轴承滚珠计数），掌握简单场景下的快速检测方案。</w:t>
      </w:r>
    </w:p>
    <w:p w14:paraId="730891CC">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（3）深度学习检测算法（核心）：深入讲解CNN缺陷分类（ResNet）、U-Net缺陷分割、YOLOv8目标检测的原理与实现，重点剖析工业场景的算法优化（小目标检测、实时性提升），培养复杂缺陷的高精度检测能力。</w:t>
      </w:r>
    </w:p>
    <w:p w14:paraId="2F22DC36">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（4）小样本与大模型应用：学习小样本学习（ProtoNet）在新型缺陷检测中的应用，以及SAM大模型在工业缺陷分割中的迁移适配，覆盖工业数据稀缺场景的算法解决方案。</w:t>
      </w:r>
    </w:p>
    <w:p w14:paraId="18E855A0">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（5）工业缺陷检测工程案例：通过手机屏幕缺陷检测、金属表面划痕识别、PCB短路检测三个真实案例，让学生完成从数据预处理到模型训练的全流程实践，掌握算法选型与性能验证的工程方法。</w:t>
      </w:r>
    </w:p>
    <w:p w14:paraId="36BEA553">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2. 课程目标与价值</w:t>
      </w:r>
    </w:p>
    <w:p w14:paraId="60CD0019">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（1）知识体系构建：帮助学生系统掌握工业视觉检测的两类核心算法（传统/深度学习），理解不同场景的算法适配逻辑，构建从理论到实践的完整知识框架。</w:t>
      </w:r>
    </w:p>
    <w:p w14:paraId="237FD16D">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（2）实战能力培养：通过PyTorch/OpenCV代码实践与工业案例演练，提升学生独立设计检测算法、优化模型性能的能力，具备解决真实工业检测问题的工程素养。</w:t>
      </w:r>
    </w:p>
    <w:p w14:paraId="5DF38C4C">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（3）行业需求接轨：课程内容紧跟智能制造领域的技术趋势（如YOLOv8、SAM大模型），确保学生所学与工业界需求一致，增强在智能制造、机器视觉领域的就业竞争力。</w:t>
      </w:r>
    </w:p>
    <w:p w14:paraId="1DC44537">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（4）创新思维启发：鼓励学生探索算法在新兴工业场景（如光伏电池、新能源汽车）的应用，培养算法优化与场景创新的思维，为后续科研或工程应用打下基础。</w:t>
      </w:r>
    </w:p>
    <w:p w14:paraId="0B53ACA3">
      <w:pPr>
        <w:pStyle w:val="5"/>
        <w:keepNext w:val="0"/>
        <w:keepLines w:val="0"/>
        <w:pageBreakBefore w:val="0"/>
        <w:widowControl/>
        <w:shd w:val="clear" w:color="auto" w:fill="FFFFFF"/>
        <w:wordWrap/>
        <w:overflowPunct/>
        <w:topLinePunct w:val="0"/>
        <w:bidi w:val="0"/>
        <w:spacing w:before="0" w:beforeAutospacing="0" w:after="0" w:afterAutospacing="0" w:line="440" w:lineRule="exact"/>
        <w:ind w:firstLine="516" w:firstLineChars="200"/>
        <w:rPr>
          <w:rFonts w:hint="eastAsia" w:ascii="仿宋" w:hAnsi="仿宋" w:eastAsia="仿宋" w:cs="仿宋"/>
          <w:snapToGrid w:val="0"/>
          <w:color w:val="000000"/>
          <w:spacing w:val="9"/>
          <w:kern w:val="0"/>
          <w:sz w:val="24"/>
          <w:szCs w:val="24"/>
          <w:lang w:val="en-US" w:eastAsia="zh-CN" w:bidi="ar-SA"/>
        </w:rPr>
      </w:pPr>
      <w:r>
        <w:rPr>
          <w:rFonts w:hint="eastAsia" w:ascii="仿宋" w:hAnsi="仿宋" w:eastAsia="仿宋" w:cs="仿宋"/>
          <w:snapToGrid w:val="0"/>
          <w:color w:val="000000"/>
          <w:spacing w:val="9"/>
          <w:kern w:val="0"/>
          <w:sz w:val="24"/>
          <w:szCs w:val="24"/>
          <w:lang w:val="en-US" w:eastAsia="zh-CN" w:bidi="ar-SA"/>
        </w:rPr>
        <w:t>本课程紧密对接智能制造产业升级中对高精度、智能化质检的技术趋势，致力于培养兼具扎实理论功底、卓越工程实践能力与前沿创新视野的工业视觉开发人才，显著增强学生在高端制造与机器视觉领域的核心竞争力。</w:t>
      </w:r>
    </w:p>
    <w:p w14:paraId="46979ECE">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b/>
          <w:bCs/>
          <w:spacing w:val="9"/>
          <w:sz w:val="24"/>
          <w:szCs w:val="24"/>
          <w:highlight w:val="none"/>
          <w:lang w:val="en-US" w:eastAsia="zh-CN"/>
        </w:rPr>
      </w:pPr>
      <w:r>
        <w:rPr>
          <w:rFonts w:hint="eastAsia"/>
          <w:b/>
          <w:bCs/>
          <w:spacing w:val="9"/>
          <w:sz w:val="24"/>
          <w:szCs w:val="24"/>
          <w:highlight w:val="none"/>
          <w:lang w:val="en-US" w:eastAsia="zh-CN"/>
        </w:rPr>
        <w:t>（五）智能软件系统开发综合实践</w:t>
      </w:r>
    </w:p>
    <w:p w14:paraId="2A231296">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智能软件系统开发综合实践》是一门旨在培养学生贯通智能软件开发全链路、驾驭复杂工业系统集成与创新的顶峰课程。课程聚焦于将工业视觉、机器人控制、算法设计与全栈开发等核心知识模块进行深度融合与创造性应用，通过设计与实现一个完整的“柔性智能制造单元”原型项目，开展从需求分析、架构设计、模块开发到系统联调与部署的全流程、项目制训练。本课程旨在引导学生跨越单点技术，构建面向真实工业场景的系统级解决方案能力，培养成为能够主导或深度参与智能产线、数字工厂软件系统开发与集成的骨干工程师。</w:t>
      </w:r>
    </w:p>
    <w:p w14:paraId="3D2321E9">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1. 课程学习内容</w:t>
      </w:r>
    </w:p>
    <w:p w14:paraId="1EA145C0">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1）智能产线系统分析与顶层设计：深入讲解工业软件系统的需求分析方法与架构设计原则。引导学生对一个包含上下料、视觉质检、数据监控等环节的柔性制造单元进行业务建模，完成技术选型、模块划分、接口定义及数据流设计，撰写专业的系统设计文档，奠定大型项目开发的工程基础。</w:t>
      </w:r>
    </w:p>
    <w:p w14:paraId="44BD91DA">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2）核心服务模块开发与实现：指导学生分组并行开发核心子系统。具体包括：开发视觉质检微服务，提供标准的检测API；编写机器人控制与调度服务，实现对多AGV和机械臂的协同任务派发与监控；构建数据中台与业务逻辑后端，统一处理生产数据、质量数据与业务规则。</w:t>
      </w:r>
    </w:p>
    <w:p w14:paraId="2D0FE843">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（3）全栈监控平台与数据可视化开发：基于主流前端框架与后端技术，开发工业级监控大屏与业务管理前端。实现产线3D数字孪生、设备状态实时监控、生产节拍分析、质量报表（如缺陷类型分布、一次通过</w:t>
      </w:r>
      <w:bookmarkStart w:id="0" w:name="_GoBack"/>
      <w:bookmarkEnd w:id="0"/>
      <w:r>
        <w:rPr>
          <w:rFonts w:hint="eastAsia"/>
          <w:spacing w:val="9"/>
          <w:sz w:val="24"/>
          <w:szCs w:val="24"/>
          <w:highlight w:val="none"/>
          <w:lang w:val="en-US" w:eastAsia="zh-CN"/>
        </w:rPr>
        <w:t>率）自动生成等可视化功能，呈现数据驱动决策的价值。</w:t>
      </w:r>
    </w:p>
    <w:p w14:paraId="4FCF273D">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4）系统集成、联调与性能优化：系统讲授系统集成测试方法、接口联调技巧与性能调优策略。指导学生对各独立模块进行集成，解决通信协议对接、数据一致性、并发处理等实际问题，并对整个系统的稳定性、实时性与吞吐量进行测试与优化，提升工程交付质量。</w:t>
      </w:r>
    </w:p>
    <w:p w14:paraId="07E57F7D">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5）柔性制造单元综合项目实战：以“机器人智能上下料与在线质检产线”为综合案例，组织学生以团队形式完整实施项目。覆盖从项目启动、方案评审、迭代开发、集成测试、部署上线到项目复盘的全生命周期，全方位体验工业智能软件从概念到落地的全过程，锤炼复杂工程系统的构建能力。</w:t>
      </w:r>
    </w:p>
    <w:p w14:paraId="591030FC">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2. 课程目标与价值</w:t>
      </w:r>
    </w:p>
    <w:p w14:paraId="07912E56">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1）知识融合与体系升华：推动学生将离散于多门课程的技术点（视觉算法、控制逻辑、通信协议、软件开发）进行有机整合与串联，形成面向“感知-决策-控制-执行-管理”闭环的立体化知识网络，完成从掌握技术到驾驭系统的能力升华。</w:t>
      </w:r>
    </w:p>
    <w:p w14:paraId="10D109F2">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2）复杂工程问题解决能力培养：通过真实、完整的项目驱动，培养学生应对需求模糊、技术异构、系统耦合等复杂工程挑战的能力。重点提升其在系统架构设计、模块解耦、团队协作、调试排障和项目管控方面的核心素养。</w:t>
      </w:r>
    </w:p>
    <w:p w14:paraId="6AE2BF8E">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3）与工业级开发流程无缝接轨：严格模拟企业级的软件开发和系统集成流程，引入需求管理、版本控制、接口文档、持续集成等现代工程实践。确保学生所学即所用，毕业后能迅速融入智能制造、工业互联网企业的研发团队，承担核心开发角色。</w:t>
      </w:r>
    </w:p>
    <w:p w14:paraId="03503CEF">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rFonts w:hint="eastAsia"/>
          <w:spacing w:val="9"/>
          <w:sz w:val="24"/>
          <w:szCs w:val="24"/>
          <w:highlight w:val="none"/>
          <w:lang w:val="en-US" w:eastAsia="zh-CN"/>
        </w:rPr>
      </w:pPr>
      <w:r>
        <w:rPr>
          <w:rFonts w:hint="eastAsia"/>
          <w:spacing w:val="9"/>
          <w:sz w:val="24"/>
          <w:szCs w:val="24"/>
          <w:highlight w:val="none"/>
          <w:lang w:val="en-US" w:eastAsia="zh-CN"/>
        </w:rPr>
        <w:t>（4）创新思维与职业发展赋能：鼓励学生在既定框架内进行技术选型优化、算法策略改进或用户体验创新，培养其以技术驱动业务改进的思维。最终形成的完整项目作品集，将成为学生求职于高端智能制造领域时彰显综合实力的关键凭证，为未来成长为系统架构师或项目负责人奠定坚实基础。</w:t>
      </w:r>
    </w:p>
    <w:p w14:paraId="373483DC">
      <w:pPr>
        <w:pStyle w:val="2"/>
        <w:keepNext w:val="0"/>
        <w:keepLines w:val="0"/>
        <w:pageBreakBefore w:val="0"/>
        <w:widowControl/>
        <w:kinsoku w:val="0"/>
        <w:wordWrap/>
        <w:overflowPunct/>
        <w:topLinePunct w:val="0"/>
        <w:autoSpaceDE w:val="0"/>
        <w:autoSpaceDN w:val="0"/>
        <w:bidi w:val="0"/>
        <w:adjustRightInd w:val="0"/>
        <w:snapToGrid w:val="0"/>
        <w:spacing w:before="0" w:after="0" w:line="440" w:lineRule="exact"/>
        <w:ind w:left="0" w:right="0" w:firstLine="646"/>
        <w:jc w:val="both"/>
        <w:textAlignment w:val="baseline"/>
        <w:rPr>
          <w:spacing w:val="9"/>
          <w:sz w:val="24"/>
          <w:szCs w:val="24"/>
          <w:highlight w:val="yellow"/>
        </w:rPr>
      </w:pPr>
      <w:r>
        <w:rPr>
          <w:rFonts w:hint="eastAsia"/>
          <w:spacing w:val="9"/>
          <w:sz w:val="24"/>
          <w:szCs w:val="24"/>
          <w:highlight w:val="none"/>
          <w:lang w:val="en-US" w:eastAsia="zh-CN"/>
        </w:rPr>
        <w:t>《智能软件系统开发综合实践》课程致力于为学生构建一个高仿真、高强度、高价值的“微缩工业战场”，通过“做中学”和“战中练”的模式，促成理论知识向工程能力的彻底转化。本课程旨在培养不仅精通编码，更善于系统思考、协同创新并交付价值的下一代工业智能软件领军人才。</w:t>
      </w:r>
    </w:p>
    <w:sectPr>
      <w:footerReference r:id="rId5" w:type="default"/>
      <w:pgSz w:w="11907" w:h="16839"/>
      <w:pgMar w:top="1440" w:right="1800" w:bottom="1440" w:left="1800" w:header="0"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4565C92-E9BB-47DB-B192-7CAD1D97EC1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FFA0AAD-D5B8-4BD7-B30A-42104E6FEA67}"/>
  </w:font>
  <w:font w:name="仿宋">
    <w:panose1 w:val="02010609060101010101"/>
    <w:charset w:val="86"/>
    <w:family w:val="auto"/>
    <w:pitch w:val="default"/>
    <w:sig w:usb0="800002BF" w:usb1="38CF7CFA" w:usb2="00000016" w:usb3="00000000" w:csb0="00040001" w:csb1="00000000"/>
    <w:embedRegular r:id="rId3" w:fontKey="{1F2035EA-6B21-4DDC-A700-EAA07BAC61D9}"/>
  </w:font>
  <w:font w:name="微软雅黑">
    <w:panose1 w:val="020B0503020204020204"/>
    <w:charset w:val="86"/>
    <w:family w:val="auto"/>
    <w:pitch w:val="default"/>
    <w:sig w:usb0="80000287" w:usb1="2ACF3C50" w:usb2="00000016" w:usb3="00000000" w:csb0="0004001F" w:csb1="00000000"/>
    <w:embedRegular r:id="rId4" w:fontKey="{08EEED40-9A2F-4E8F-BFE1-51427722A23F}"/>
  </w:font>
  <w:font w:name="方正仿宋_GBK">
    <w:panose1 w:val="02000000000000000000"/>
    <w:charset w:val="86"/>
    <w:family w:val="script"/>
    <w:pitch w:val="default"/>
    <w:sig w:usb0="A00002BF" w:usb1="38CF7CFA" w:usb2="00082016" w:usb3="00000000" w:csb0="00040001" w:csb1="00000000"/>
    <w:embedRegular r:id="rId5" w:fontKey="{6C529D3F-D583-4A1E-AAB5-65D0442F67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04D6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A6EF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BA6EF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9D2B45"/>
    <w:multiLevelType w:val="singleLevel"/>
    <w:tmpl w:val="059D2B4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jVhNGFhNTQzZjFhZDEzNWM1NWFhODMzNTI4YWNlNTkifQ=="/>
  </w:docVars>
  <w:rsids>
    <w:rsidRoot w:val="00000000"/>
    <w:rsid w:val="007756C4"/>
    <w:rsid w:val="01AA6B59"/>
    <w:rsid w:val="02291C66"/>
    <w:rsid w:val="02EA271B"/>
    <w:rsid w:val="060A0AF3"/>
    <w:rsid w:val="077F2C0B"/>
    <w:rsid w:val="0869448C"/>
    <w:rsid w:val="08A63ECA"/>
    <w:rsid w:val="08CC59BD"/>
    <w:rsid w:val="091D7025"/>
    <w:rsid w:val="09465C84"/>
    <w:rsid w:val="09BF2AD7"/>
    <w:rsid w:val="09E21E49"/>
    <w:rsid w:val="0A4A5BF8"/>
    <w:rsid w:val="0EB75826"/>
    <w:rsid w:val="0EF44384"/>
    <w:rsid w:val="10EA253F"/>
    <w:rsid w:val="12A07FC1"/>
    <w:rsid w:val="12AA10F1"/>
    <w:rsid w:val="131B7216"/>
    <w:rsid w:val="13615D68"/>
    <w:rsid w:val="137D40AF"/>
    <w:rsid w:val="144E14A3"/>
    <w:rsid w:val="151046EA"/>
    <w:rsid w:val="165A728A"/>
    <w:rsid w:val="16D4115B"/>
    <w:rsid w:val="18946D09"/>
    <w:rsid w:val="19261639"/>
    <w:rsid w:val="1C7D5A48"/>
    <w:rsid w:val="1D3E7EA7"/>
    <w:rsid w:val="1DB56725"/>
    <w:rsid w:val="1EB53B18"/>
    <w:rsid w:val="1F1174E2"/>
    <w:rsid w:val="1F5309F2"/>
    <w:rsid w:val="23D15A22"/>
    <w:rsid w:val="26A81CA9"/>
    <w:rsid w:val="28D32810"/>
    <w:rsid w:val="28F31A76"/>
    <w:rsid w:val="2A9B0BB2"/>
    <w:rsid w:val="2B204A27"/>
    <w:rsid w:val="2B2B6040"/>
    <w:rsid w:val="2B786062"/>
    <w:rsid w:val="2C653E83"/>
    <w:rsid w:val="2C8B629B"/>
    <w:rsid w:val="2D9B0395"/>
    <w:rsid w:val="2ED52B51"/>
    <w:rsid w:val="2F320885"/>
    <w:rsid w:val="2FF434B5"/>
    <w:rsid w:val="30C23E8A"/>
    <w:rsid w:val="31731487"/>
    <w:rsid w:val="31B07CC1"/>
    <w:rsid w:val="32153D88"/>
    <w:rsid w:val="32406D31"/>
    <w:rsid w:val="326D7DC4"/>
    <w:rsid w:val="340A6274"/>
    <w:rsid w:val="34253438"/>
    <w:rsid w:val="34B30267"/>
    <w:rsid w:val="36B507C8"/>
    <w:rsid w:val="37AA422F"/>
    <w:rsid w:val="37F952C8"/>
    <w:rsid w:val="38196A86"/>
    <w:rsid w:val="386D4F37"/>
    <w:rsid w:val="388A4DF2"/>
    <w:rsid w:val="398664FD"/>
    <w:rsid w:val="3A883A84"/>
    <w:rsid w:val="3B2D43E9"/>
    <w:rsid w:val="3E7E5827"/>
    <w:rsid w:val="3EE530DE"/>
    <w:rsid w:val="3EF53E39"/>
    <w:rsid w:val="3F9C0F60"/>
    <w:rsid w:val="404B5AD0"/>
    <w:rsid w:val="41190EE5"/>
    <w:rsid w:val="41202C33"/>
    <w:rsid w:val="42425BDF"/>
    <w:rsid w:val="43680D17"/>
    <w:rsid w:val="44073826"/>
    <w:rsid w:val="440E29C6"/>
    <w:rsid w:val="45485E4C"/>
    <w:rsid w:val="457A4B71"/>
    <w:rsid w:val="457C4AF8"/>
    <w:rsid w:val="466735A0"/>
    <w:rsid w:val="46AB7443"/>
    <w:rsid w:val="474B0621"/>
    <w:rsid w:val="47DF08BD"/>
    <w:rsid w:val="495723CC"/>
    <w:rsid w:val="4A8402CD"/>
    <w:rsid w:val="4AFA4648"/>
    <w:rsid w:val="4B783979"/>
    <w:rsid w:val="4BF03B4A"/>
    <w:rsid w:val="4CC72AFC"/>
    <w:rsid w:val="4D2D06FB"/>
    <w:rsid w:val="52890F33"/>
    <w:rsid w:val="52954DAF"/>
    <w:rsid w:val="550346D2"/>
    <w:rsid w:val="578A6C00"/>
    <w:rsid w:val="57CF2865"/>
    <w:rsid w:val="58346B6C"/>
    <w:rsid w:val="59543F1F"/>
    <w:rsid w:val="59D979CB"/>
    <w:rsid w:val="5A094A74"/>
    <w:rsid w:val="5AA13369"/>
    <w:rsid w:val="5B3C6463"/>
    <w:rsid w:val="5D911B45"/>
    <w:rsid w:val="5FE053FD"/>
    <w:rsid w:val="6045496F"/>
    <w:rsid w:val="605E7121"/>
    <w:rsid w:val="60713EB7"/>
    <w:rsid w:val="60E84A6D"/>
    <w:rsid w:val="64580C4D"/>
    <w:rsid w:val="64A00270"/>
    <w:rsid w:val="656839B7"/>
    <w:rsid w:val="65E055BC"/>
    <w:rsid w:val="68C56492"/>
    <w:rsid w:val="693B3D95"/>
    <w:rsid w:val="6B2A7A16"/>
    <w:rsid w:val="6B3A60CB"/>
    <w:rsid w:val="6BA149FA"/>
    <w:rsid w:val="6C3F4006"/>
    <w:rsid w:val="6D243AE4"/>
    <w:rsid w:val="6DC42A14"/>
    <w:rsid w:val="6E211FB3"/>
    <w:rsid w:val="6FD00A02"/>
    <w:rsid w:val="70027824"/>
    <w:rsid w:val="7047527A"/>
    <w:rsid w:val="70514307"/>
    <w:rsid w:val="705B227C"/>
    <w:rsid w:val="70A20419"/>
    <w:rsid w:val="71B44D4D"/>
    <w:rsid w:val="74BF6315"/>
    <w:rsid w:val="75092368"/>
    <w:rsid w:val="755B0018"/>
    <w:rsid w:val="75A37C10"/>
    <w:rsid w:val="774803F1"/>
    <w:rsid w:val="77E711F6"/>
    <w:rsid w:val="78244FEE"/>
    <w:rsid w:val="782E7754"/>
    <w:rsid w:val="79BD50F3"/>
    <w:rsid w:val="7B58479C"/>
    <w:rsid w:val="7CB77BE8"/>
    <w:rsid w:val="7F4A184A"/>
    <w:rsid w:val="7FF52A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7520</Words>
  <Characters>7825</Characters>
  <TotalTime>0</TotalTime>
  <ScaleCrop>false</ScaleCrop>
  <LinksUpToDate>false</LinksUpToDate>
  <CharactersWithSpaces>7833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2023-09-11T09:33:00Z</dcterms:created>
  <dc:creator>admin</dc:creator>
  <cp:lastModifiedBy>eclipse</cp:lastModifiedBy>
  <cp:lastPrinted>2024-04-10T23:41:00Z</cp:lastPrinted>
  <dcterms:modified xsi:type="dcterms:W3CDTF">2026-01-11T22:49:04Z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2024-04-04T07:43:14Z</vt:filetime>
  </property>
  <property fmtid="{D5CDD505-2E9C-101B-9397-08002B2CF9AE}" pid="4" name="KSOProductBuildVer">
    <vt:lpwstr>2052-12.1.0.24034</vt:lpwstr>
  </property>
  <property fmtid="{D5CDD505-2E9C-101B-9397-08002B2CF9AE}" pid="5" name="ICV">
    <vt:lpwstr>5DA484FBA0C64F369EC08D550D8D6A7D_13</vt:lpwstr>
  </property>
  <property fmtid="{D5CDD505-2E9C-101B-9397-08002B2CF9AE}" pid="6" name="KSOTemplateDocerSaveRecord">
    <vt:lpwstr>eyJoZGlkIjoiNWQyNmU3OTUxMTAzZDg2YTRhOGUzZDZjNGE4NmVmNTgiLCJ1c2VySWQiOiI0ODU2MjMxMDUifQ==</vt:lpwstr>
  </property>
</Properties>
</file>